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仿宋" w:eastAsia="仿宋" w:hAnsi="仿宋" w:cs="Arial"/>
          <w:b/>
          <w:color w:val="333333"/>
          <w:sz w:val="32"/>
          <w:szCs w:val="21"/>
        </w:rPr>
      </w:pPr>
      <w:bookmarkStart w:id="0" w:name="_GoBack"/>
      <w:r w:rsidRPr="006E7E14">
        <w:rPr>
          <w:rFonts w:ascii="仿宋" w:eastAsia="仿宋" w:hAnsi="仿宋" w:cs="Arial"/>
          <w:b/>
          <w:color w:val="333333"/>
          <w:sz w:val="32"/>
          <w:szCs w:val="21"/>
        </w:rPr>
        <w:t>年会论文收录基本要求</w:t>
      </w:r>
    </w:p>
    <w:bookmarkEnd w:id="0"/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 w:hint="eastAsia"/>
          <w:color w:val="333333"/>
          <w:sz w:val="28"/>
          <w:szCs w:val="21"/>
        </w:rPr>
      </w:pP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b/>
          <w:color w:val="333333"/>
          <w:szCs w:val="21"/>
        </w:rPr>
      </w:pPr>
      <w:r w:rsidRPr="006E7E14">
        <w:rPr>
          <w:rFonts w:ascii="仿宋" w:eastAsia="仿宋" w:hAnsi="仿宋" w:cs="Arial"/>
          <w:b/>
          <w:color w:val="333333"/>
          <w:szCs w:val="21"/>
        </w:rPr>
        <w:t>一、体例规范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（一）来稿字数在5000以上，最多不超过10000字，优秀稿件例外。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（二）附100-300字的内容摘要和3-6个关键词，内容摘要应客观反映论文主要内容，表明作者观点。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（三）注释采用脚注方式；脚注编号格式为</w:t>
      </w:r>
      <w:r w:rsidRPr="006E7E14">
        <w:rPr>
          <w:rFonts w:ascii="仿宋" w:eastAsia="仿宋" w:hAnsi="仿宋" w:hint="eastAsia"/>
          <w:color w:val="333333"/>
          <w:szCs w:val="21"/>
        </w:rPr>
        <w:t>①</w:t>
      </w:r>
      <w:r w:rsidRPr="006E7E14">
        <w:rPr>
          <w:rFonts w:ascii="仿宋" w:eastAsia="仿宋" w:hAnsi="仿宋" w:cs="Arial"/>
          <w:color w:val="333333"/>
          <w:szCs w:val="21"/>
        </w:rPr>
        <w:t>、</w:t>
      </w:r>
      <w:r w:rsidRPr="006E7E14">
        <w:rPr>
          <w:rFonts w:ascii="仿宋" w:eastAsia="仿宋" w:hAnsi="仿宋" w:hint="eastAsia"/>
          <w:color w:val="333333"/>
          <w:szCs w:val="21"/>
        </w:rPr>
        <w:t>②</w:t>
      </w:r>
      <w:r w:rsidRPr="006E7E14">
        <w:rPr>
          <w:rFonts w:ascii="仿宋" w:eastAsia="仿宋" w:hAnsi="仿宋" w:cs="Arial"/>
          <w:color w:val="333333"/>
          <w:szCs w:val="21"/>
        </w:rPr>
        <w:t>、</w:t>
      </w:r>
      <w:r w:rsidRPr="006E7E14">
        <w:rPr>
          <w:rFonts w:ascii="仿宋" w:eastAsia="仿宋" w:hAnsi="仿宋" w:hint="eastAsia"/>
          <w:color w:val="333333"/>
          <w:szCs w:val="21"/>
        </w:rPr>
        <w:t>③</w:t>
      </w:r>
      <w:r w:rsidRPr="006E7E14">
        <w:rPr>
          <w:rFonts w:ascii="仿宋" w:eastAsia="仿宋" w:hAnsi="仿宋" w:cs="Arial"/>
          <w:color w:val="333333"/>
          <w:szCs w:val="21"/>
        </w:rPr>
        <w:t>，方式为“连续编号”。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注释的格式范例如下：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示例一（编著类）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最高人民法院民法典贯彻实施工作领导小组主编：《中华人民共和国民法典总则编理解与适用》，人民法院出版社2020年版，第69页。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示例二（著作类）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谢勇：《建设工程施工合同案件裁判规则解析》，中国法制出版社2020年版，第8页。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示例三（论文类）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王建东、杨国锋：《逾期利益赔偿：建设工程承包人合理利润索赔研究》，载《浙江学刊》2015年第3期，第161页。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示例四（报刊类）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余卫、曾小元：《最高人民法院第三巡回法庭建设工程合同纠纷再审审理案例分析》，载《建筑时报》2021年1月28日第3版。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示例五（译著类）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[德]罗森贝克、施瓦布、戈特瓦尔德：《德国民事诉讼法》（下），李大雪译，中国法制出版社2007年版，第696页。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示例六（互联网资料）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参见《民法学研究会2018年年会会议简报第四期》，载中国法学会官网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https://www.chinalaw.org.cn/portal/article/index/id/13190/cid/28.html，最后访问日期：2020年3月3日。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（四）提供作者简介，其内容包括：作者姓名、工作单位、职称/职务、学位、联系方式等。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b/>
          <w:color w:val="333333"/>
          <w:szCs w:val="21"/>
        </w:rPr>
      </w:pPr>
      <w:r w:rsidRPr="006E7E14">
        <w:rPr>
          <w:rFonts w:ascii="仿宋" w:eastAsia="仿宋" w:hAnsi="仿宋" w:cs="Arial"/>
          <w:b/>
          <w:color w:val="333333"/>
          <w:szCs w:val="21"/>
        </w:rPr>
        <w:t>二、格式规范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 w:val="28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1.文章题目（居中，宋体，小三，加粗）。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lastRenderedPageBreak/>
        <w:t>2.副标题（居中，宋体，四号；上不空行，下空1行）。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3.作者：（居中，楷体5号，上空1行，下空2行）。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4.一级标题（居中，宋体，四号，加粗，上下各空1行）。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5.二级标题（空2字符，标题加小括号，宋体小四，上下不空行）。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6.正文（宋体5号，行距固定值20磅）。</w:t>
      </w:r>
    </w:p>
    <w:p w:rsidR="006E7E14" w:rsidRPr="006E7E14" w:rsidRDefault="006E7E14" w:rsidP="006E7E14">
      <w:pPr>
        <w:pStyle w:val="a3"/>
        <w:shd w:val="clear" w:color="auto" w:fill="FFFFFF"/>
        <w:spacing w:before="150" w:beforeAutospacing="0" w:after="150" w:afterAutospacing="0"/>
        <w:rPr>
          <w:rFonts w:ascii="仿宋" w:eastAsia="仿宋" w:hAnsi="仿宋" w:cs="Arial"/>
          <w:color w:val="333333"/>
          <w:szCs w:val="21"/>
        </w:rPr>
      </w:pPr>
      <w:r w:rsidRPr="006E7E14">
        <w:rPr>
          <w:rFonts w:ascii="仿宋" w:eastAsia="仿宋" w:hAnsi="仿宋" w:cs="Arial"/>
          <w:color w:val="333333"/>
          <w:szCs w:val="21"/>
        </w:rPr>
        <w:t>7.注释（宋体小五，行距固定值12磅），一律以脚注的方式进行。</w:t>
      </w:r>
    </w:p>
    <w:p w:rsidR="00C6698C" w:rsidRPr="006E7E14" w:rsidRDefault="006E7E14">
      <w:pPr>
        <w:rPr>
          <w:sz w:val="24"/>
        </w:rPr>
      </w:pPr>
    </w:p>
    <w:sectPr w:rsidR="00C6698C" w:rsidRPr="006E7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14"/>
    <w:rsid w:val="00201121"/>
    <w:rsid w:val="006E7E14"/>
    <w:rsid w:val="007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E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E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4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2021-09-22T06:45:00Z</dcterms:created>
  <dcterms:modified xsi:type="dcterms:W3CDTF">2021-09-22T06:47:00Z</dcterms:modified>
</cp:coreProperties>
</file>