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89ED8">
      <w:pPr>
        <w:pStyle w:val="25"/>
        <w:jc w:val="center"/>
      </w:pPr>
      <w:bookmarkStart w:id="14" w:name="_GoBack"/>
      <w:bookmarkEnd w:id="14"/>
    </w:p>
    <w:p w14:paraId="2D83C246">
      <w:pPr>
        <w:pStyle w:val="25"/>
        <w:jc w:val="center"/>
      </w:pPr>
    </w:p>
    <w:p w14:paraId="18041DE2">
      <w:pPr>
        <w:pStyle w:val="25"/>
        <w:jc w:val="center"/>
      </w:pPr>
    </w:p>
    <w:p w14:paraId="133B9AA9">
      <w:pPr>
        <w:pStyle w:val="25"/>
        <w:jc w:val="center"/>
      </w:pPr>
    </w:p>
    <w:p w14:paraId="7377D782">
      <w:pPr>
        <w:pStyle w:val="25"/>
        <w:jc w:val="center"/>
      </w:pPr>
    </w:p>
    <w:p w14:paraId="3BC411D5">
      <w:pPr>
        <w:pStyle w:val="25"/>
        <w:jc w:val="center"/>
      </w:pPr>
    </w:p>
    <w:p w14:paraId="0BDDD580">
      <w:pPr>
        <w:pStyle w:val="25"/>
        <w:jc w:val="center"/>
        <w:rPr>
          <w:rFonts w:hint="eastAsia"/>
        </w:rPr>
      </w:pPr>
    </w:p>
    <w:p w14:paraId="18CE33EB">
      <w:pPr>
        <w:pStyle w:val="17"/>
        <w:ind w:firstLine="1041"/>
        <w:rPr>
          <w:rStyle w:val="31"/>
          <w:b/>
          <w:bCs/>
          <w:i w:val="0"/>
          <w:iCs w:val="0"/>
          <w:spacing w:val="0"/>
        </w:rPr>
      </w:pPr>
      <w:bookmarkStart w:id="0" w:name="_Toc193446461"/>
      <w:r>
        <w:rPr>
          <w:rStyle w:val="31"/>
          <w:rFonts w:hint="eastAsia"/>
          <w:b/>
          <w:bCs/>
          <w:i w:val="0"/>
          <w:iCs w:val="0"/>
          <w:spacing w:val="0"/>
        </w:rPr>
        <w:t>城市更新立法与政策研究报告</w:t>
      </w:r>
      <w:bookmarkEnd w:id="0"/>
    </w:p>
    <w:p w14:paraId="6FB58406">
      <w:pPr>
        <w:pStyle w:val="25"/>
        <w:ind w:firstLine="560" w:firstLineChars="200"/>
      </w:pPr>
    </w:p>
    <w:p w14:paraId="3F908C41">
      <w:pPr>
        <w:pStyle w:val="25"/>
        <w:ind w:firstLine="560" w:firstLineChars="200"/>
      </w:pPr>
    </w:p>
    <w:p w14:paraId="5C4E2924">
      <w:pPr>
        <w:pStyle w:val="25"/>
        <w:ind w:firstLine="560" w:firstLineChars="200"/>
      </w:pPr>
    </w:p>
    <w:p w14:paraId="1623985D">
      <w:pPr>
        <w:pStyle w:val="25"/>
        <w:ind w:firstLine="560" w:firstLineChars="200"/>
        <w:rPr>
          <w:rFonts w:hint="eastAsia"/>
        </w:rPr>
      </w:pPr>
    </w:p>
    <w:p w14:paraId="7393E870">
      <w:pPr>
        <w:pStyle w:val="33"/>
        <w:ind w:firstLine="560"/>
      </w:pPr>
      <w:r>
        <w:rPr>
          <w:rFonts w:hint="eastAsia"/>
        </w:rPr>
        <w:t>主办单位</w:t>
      </w:r>
    </w:p>
    <w:p w14:paraId="15C7F4AD">
      <w:pPr>
        <w:pStyle w:val="33"/>
        <w:ind w:firstLine="560"/>
      </w:pPr>
      <w:r>
        <w:t>浙江省房地产业协会 房地产研究分会</w:t>
      </w:r>
    </w:p>
    <w:p w14:paraId="716E8719">
      <w:pPr>
        <w:pStyle w:val="33"/>
        <w:ind w:firstLine="560"/>
      </w:pPr>
      <w:r>
        <w:rPr>
          <w:rFonts w:hint="eastAsia"/>
        </w:rPr>
        <w:t>浙江省</w:t>
      </w:r>
      <w:r>
        <w:t>房地产业协会</w:t>
      </w:r>
      <w:r>
        <w:rPr>
          <w:rFonts w:hint="eastAsia"/>
        </w:rPr>
        <w:t xml:space="preserve"> 法律与维权专业委员会</w:t>
      </w:r>
    </w:p>
    <w:p w14:paraId="22874A89">
      <w:pPr>
        <w:pStyle w:val="33"/>
        <w:ind w:firstLine="560"/>
      </w:pPr>
      <w:r>
        <w:rPr>
          <w:rFonts w:hint="eastAsia"/>
        </w:rPr>
        <w:t>承办单位</w:t>
      </w:r>
    </w:p>
    <w:p w14:paraId="297A457F">
      <w:pPr>
        <w:pStyle w:val="33"/>
        <w:ind w:firstLine="560"/>
        <w:sectPr>
          <w:headerReference r:id="rId7" w:type="first"/>
          <w:footerReference r:id="rId10" w:type="first"/>
          <w:headerReference r:id="rId5" w:type="default"/>
          <w:footerReference r:id="rId8" w:type="default"/>
          <w:headerReference r:id="rId6" w:type="even"/>
          <w:footerReference r:id="rId9" w:type="even"/>
          <w:pgSz w:w="11900" w:h="16840"/>
          <w:pgMar w:top="1440" w:right="1800" w:bottom="1440" w:left="1800" w:header="851" w:footer="992" w:gutter="0"/>
          <w:pgNumType w:fmt="numberInDash"/>
          <w:cols w:space="425" w:num="1"/>
          <w:docGrid w:type="lines" w:linePitch="312" w:charSpace="0"/>
        </w:sectPr>
      </w:pPr>
      <w:r>
        <w:rPr>
          <w:rFonts w:hint="eastAsia"/>
        </w:rPr>
        <w:t>浙江东鹰律师事务所</w:t>
      </w:r>
    </w:p>
    <w:sdt>
      <w:sdtPr>
        <w:rPr>
          <w:rFonts w:asciiTheme="minorHAnsi" w:hAnsiTheme="minorHAnsi" w:eastAsiaTheme="minorEastAsia" w:cstheme="minorBidi"/>
          <w:b w:val="0"/>
          <w:bCs w:val="0"/>
          <w:color w:val="auto"/>
          <w:kern w:val="2"/>
          <w:sz w:val="24"/>
          <w:szCs w:val="24"/>
        </w:rPr>
        <w:id w:val="-828357391"/>
        <w:docPartObj>
          <w:docPartGallery w:val="Table of Contents"/>
          <w:docPartUnique/>
        </w:docPartObj>
      </w:sdtPr>
      <w:sdtEndPr>
        <w:rPr>
          <w:rFonts w:ascii="Cambria" w:hAnsi="Cambria" w:eastAsia="仿宋" w:cs="Times New Roman (正文 CS 字体)"/>
          <w:b w:val="0"/>
          <w:bCs w:val="0"/>
          <w:color w:val="auto"/>
          <w:kern w:val="2"/>
          <w:sz w:val="22"/>
          <w:szCs w:val="22"/>
        </w:rPr>
      </w:sdtEndPr>
      <w:sdtContent>
        <w:sdt>
          <w:sdtPr>
            <w:rPr>
              <w:rFonts w:asciiTheme="minorHAnsi" w:hAnsiTheme="minorHAnsi" w:eastAsiaTheme="minorEastAsia" w:cstheme="minorBidi"/>
              <w:b w:val="0"/>
              <w:bCs w:val="0"/>
              <w:color w:val="auto"/>
              <w:kern w:val="2"/>
              <w:sz w:val="24"/>
              <w:szCs w:val="24"/>
            </w:rPr>
            <w:id w:val="290088328"/>
          </w:sdtPr>
          <w:sdtEndPr>
            <w:rPr>
              <w:rFonts w:ascii="Cambria" w:hAnsi="Cambria" w:eastAsia="仿宋" w:cs="Times New Roman (正文 CS 字体)"/>
              <w:b w:val="0"/>
              <w:bCs w:val="0"/>
              <w:color w:val="auto"/>
              <w:kern w:val="2"/>
              <w:sz w:val="22"/>
              <w:szCs w:val="22"/>
            </w:rPr>
          </w:sdtEndPr>
          <w:sdtContent>
            <w:p w14:paraId="7FB8BAE4">
              <w:pPr>
                <w:pStyle w:val="29"/>
                <w:ind w:firstLine="480"/>
              </w:pPr>
              <w:r>
                <w:rPr>
                  <w:lang w:val="zh-CN"/>
                </w:rPr>
                <w:t>目录</w:t>
              </w:r>
            </w:p>
            <w:p w14:paraId="357D6362">
              <w:pPr>
                <w:pStyle w:val="10"/>
                <w:tabs>
                  <w:tab w:val="right" w:leader="dot" w:pos="8290"/>
                </w:tabs>
                <w:ind w:firstLine="440"/>
                <w:rPr>
                  <w:rFonts w:hAnsiTheme="minorHAnsi" w:eastAsiaTheme="minorEastAsia" w:cstheme="minorBidi"/>
                  <w:b w:val="0"/>
                  <w:bCs w:val="0"/>
                  <w:iCs w:val="0"/>
                  <w:sz w:val="21"/>
                </w:rPr>
              </w:pPr>
              <w:r>
                <w:rPr>
                  <w:rFonts w:ascii="Cambria" w:hAnsi="Cambria"/>
                  <w:b w:val="0"/>
                  <w:bCs w:val="0"/>
                  <w:iCs w:val="0"/>
                  <w:caps/>
                  <w:sz w:val="22"/>
                  <w:szCs w:val="22"/>
                  <w:u w:val="single"/>
                </w:rPr>
                <w:fldChar w:fldCharType="begin"/>
              </w:r>
              <w:r>
                <w:rPr>
                  <w:rFonts w:ascii="Cambria" w:hAnsi="Cambria"/>
                  <w:b w:val="0"/>
                  <w:bCs w:val="0"/>
                  <w:iCs w:val="0"/>
                  <w:caps/>
                  <w:sz w:val="22"/>
                  <w:szCs w:val="22"/>
                  <w:u w:val="single"/>
                </w:rPr>
                <w:instrText xml:space="preserve"> TOC \o "1-3" \h \z \u </w:instrText>
              </w:r>
              <w:r>
                <w:rPr>
                  <w:rFonts w:ascii="Cambria" w:hAnsi="Cambria"/>
                  <w:b w:val="0"/>
                  <w:bCs w:val="0"/>
                  <w:iCs w:val="0"/>
                  <w:caps/>
                  <w:sz w:val="22"/>
                  <w:szCs w:val="22"/>
                  <w:u w:val="single"/>
                </w:rPr>
                <w:fldChar w:fldCharType="separate"/>
              </w:r>
              <w:r>
                <w:fldChar w:fldCharType="begin"/>
              </w:r>
              <w:r>
                <w:instrText xml:space="preserve"> HYPERLINK \l "_Toc193446461" </w:instrText>
              </w:r>
              <w:r>
                <w:fldChar w:fldCharType="separate"/>
              </w:r>
              <w:r>
                <w:rPr>
                  <w:rStyle w:val="21"/>
                </w:rPr>
                <w:t>城市更新立法与政策研究报告</w:t>
              </w:r>
              <w:r>
                <w:tab/>
              </w:r>
              <w:r>
                <w:fldChar w:fldCharType="begin"/>
              </w:r>
              <w:r>
                <w:instrText xml:space="preserve"> PAGEREF _Toc193446461 \h </w:instrText>
              </w:r>
              <w:r>
                <w:fldChar w:fldCharType="separate"/>
              </w:r>
              <w:r>
                <w:t>- 1 -</w:t>
              </w:r>
              <w:r>
                <w:fldChar w:fldCharType="end"/>
              </w:r>
              <w:r>
                <w:fldChar w:fldCharType="end"/>
              </w:r>
            </w:p>
            <w:p w14:paraId="6264F74B">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"_Toc193446462" </w:instrText>
              </w:r>
              <w:r>
                <w:fldChar w:fldCharType="separate"/>
              </w:r>
              <w:r>
                <w:rPr>
                  <w:rStyle w:val="21"/>
                </w:rPr>
                <w:t>一、前言</w:t>
              </w:r>
              <w:r>
                <w:tab/>
              </w:r>
              <w:r>
                <w:fldChar w:fldCharType="begin"/>
              </w:r>
              <w:r>
                <w:instrText xml:space="preserve"> PAGEREF _Toc193446462 \h </w:instrText>
              </w:r>
              <w:r>
                <w:fldChar w:fldCharType="separate"/>
              </w:r>
              <w:r>
                <w:t>- 3 -</w:t>
              </w:r>
              <w:r>
                <w:fldChar w:fldCharType="end"/>
              </w:r>
              <w:r>
                <w:fldChar w:fldCharType="end"/>
              </w:r>
            </w:p>
            <w:p w14:paraId="5E3BBC5C">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"_Toc193446463" </w:instrText>
              </w:r>
              <w:r>
                <w:fldChar w:fldCharType="separate"/>
              </w:r>
              <w:r>
                <w:rPr>
                  <w:rStyle w:val="21"/>
                </w:rPr>
                <w:t>二、城市更新对象</w:t>
              </w:r>
              <w:r>
                <w:tab/>
              </w:r>
              <w:r>
                <w:fldChar w:fldCharType="begin"/>
              </w:r>
              <w:r>
                <w:instrText xml:space="preserve"> PAGEREF _Toc193446463 \h </w:instrText>
              </w:r>
              <w:r>
                <w:fldChar w:fldCharType="separate"/>
              </w:r>
              <w:r>
                <w:t>- 3 -</w:t>
              </w:r>
              <w:r>
                <w:fldChar w:fldCharType="end"/>
              </w:r>
              <w:r>
                <w:fldChar w:fldCharType="end"/>
              </w:r>
            </w:p>
            <w:p w14:paraId="3A63B62A">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"_Toc193446464" </w:instrText>
              </w:r>
              <w:r>
                <w:fldChar w:fldCharType="separate"/>
              </w:r>
              <w:r>
                <w:rPr>
                  <w:rStyle w:val="21"/>
                </w:rPr>
                <w:t>三、城市更新工作流程</w:t>
              </w:r>
              <w:r>
                <w:tab/>
              </w:r>
              <w:r>
                <w:fldChar w:fldCharType="begin"/>
              </w:r>
              <w:r>
                <w:instrText xml:space="preserve"> PAGEREF _Toc193446464 \h </w:instrText>
              </w:r>
              <w:r>
                <w:fldChar w:fldCharType="separate"/>
              </w:r>
              <w:r>
                <w:t>- 4 -</w:t>
              </w:r>
              <w:r>
                <w:fldChar w:fldCharType="end"/>
              </w:r>
              <w:r>
                <w:fldChar w:fldCharType="end"/>
              </w:r>
            </w:p>
            <w:p w14:paraId="388CC55E">
              <w:pPr>
                <w:pStyle w:val="15"/>
                <w:tabs>
                  <w:tab w:val="right" w:leader="dot" w:pos="8290"/>
                </w:tabs>
                <w:ind w:firstLine="440"/>
                <w:rPr>
                  <w:rFonts w:hAnsiTheme="minorHAnsi" w:eastAsiaTheme="minorEastAsia" w:cstheme="minorBidi"/>
                  <w:b w:val="0"/>
                  <w:bCs w:val="0"/>
                  <w:sz w:val="21"/>
                  <w:szCs w:val="24"/>
                </w:rPr>
              </w:pPr>
              <w:r>
                <w:fldChar w:fldCharType="begin"/>
              </w:r>
              <w:r>
                <w:instrText xml:space="preserve"> HYPERLINK \l "_Toc193446465" </w:instrText>
              </w:r>
              <w:r>
                <w:fldChar w:fldCharType="separate"/>
              </w:r>
              <w:r>
                <w:rPr>
                  <w:rStyle w:val="21"/>
                </w:rPr>
                <w:t>（一）深圳模式</w:t>
              </w:r>
              <w:r>
                <w:tab/>
              </w:r>
              <w:r>
                <w:fldChar w:fldCharType="begin"/>
              </w:r>
              <w:r>
                <w:instrText xml:space="preserve"> PAGEREF _Toc193446465 \h </w:instrText>
              </w:r>
              <w:r>
                <w:fldChar w:fldCharType="separate"/>
              </w:r>
              <w:r>
                <w:t>- 4 -</w:t>
              </w:r>
              <w:r>
                <w:fldChar w:fldCharType="end"/>
              </w:r>
              <w:r>
                <w:fldChar w:fldCharType="end"/>
              </w:r>
            </w:p>
            <w:p w14:paraId="0EFBEEA2">
              <w:pPr>
                <w:pStyle w:val="15"/>
                <w:tabs>
                  <w:tab w:val="right" w:leader="dot" w:pos="8290"/>
                </w:tabs>
                <w:ind w:firstLine="440"/>
                <w:rPr>
                  <w:rFonts w:hAnsiTheme="minorHAnsi" w:eastAsiaTheme="minorEastAsia" w:cstheme="minorBidi"/>
                  <w:b w:val="0"/>
                  <w:bCs w:val="0"/>
                  <w:sz w:val="21"/>
                  <w:szCs w:val="24"/>
                </w:rPr>
              </w:pPr>
              <w:r>
                <w:fldChar w:fldCharType="begin"/>
              </w:r>
              <w:r>
                <w:instrText xml:space="preserve"> HYPERLINK \l "_Toc193446466" </w:instrText>
              </w:r>
              <w:r>
                <w:fldChar w:fldCharType="separate"/>
              </w:r>
              <w:r>
                <w:rPr>
                  <w:rStyle w:val="21"/>
                </w:rPr>
                <w:t>（二）上海模式</w:t>
              </w:r>
              <w:r>
                <w:tab/>
              </w:r>
              <w:r>
                <w:fldChar w:fldCharType="begin"/>
              </w:r>
              <w:r>
                <w:instrText xml:space="preserve"> PAGEREF _Toc193446466 \h </w:instrText>
              </w:r>
              <w:r>
                <w:fldChar w:fldCharType="separate"/>
              </w:r>
              <w:r>
                <w:t>- 7 -</w:t>
              </w:r>
              <w:r>
                <w:fldChar w:fldCharType="end"/>
              </w:r>
              <w:r>
                <w:fldChar w:fldCharType="end"/>
              </w:r>
            </w:p>
            <w:p w14:paraId="02D4A1AA">
              <w:pPr>
                <w:pStyle w:val="15"/>
                <w:tabs>
                  <w:tab w:val="right" w:leader="dot" w:pos="8290"/>
                </w:tabs>
                <w:ind w:firstLine="440"/>
                <w:rPr>
                  <w:rFonts w:hAnsiTheme="minorHAnsi" w:eastAsiaTheme="minorEastAsia" w:cstheme="minorBidi"/>
                  <w:b w:val="0"/>
                  <w:bCs w:val="0"/>
                  <w:sz w:val="21"/>
                  <w:szCs w:val="24"/>
                </w:rPr>
              </w:pPr>
              <w:r>
                <w:fldChar w:fldCharType="begin"/>
              </w:r>
              <w:r>
                <w:instrText xml:space="preserve"> HYPERLINK \l "_Toc193446467" </w:instrText>
              </w:r>
              <w:r>
                <w:fldChar w:fldCharType="separate"/>
              </w:r>
              <w:r>
                <w:rPr>
                  <w:rStyle w:val="21"/>
                </w:rPr>
                <w:t>（三）《浙江省城镇社区建设更新条例（草案）》模式</w:t>
              </w:r>
              <w:r>
                <w:tab/>
              </w:r>
              <w:r>
                <w:fldChar w:fldCharType="begin"/>
              </w:r>
              <w:r>
                <w:instrText xml:space="preserve"> PAGEREF _Toc193446467 \h </w:instrText>
              </w:r>
              <w:r>
                <w:fldChar w:fldCharType="separate"/>
              </w:r>
              <w:r>
                <w:t>- 9 -</w:t>
              </w:r>
              <w:r>
                <w:fldChar w:fldCharType="end"/>
              </w:r>
              <w:r>
                <w:fldChar w:fldCharType="end"/>
              </w:r>
            </w:p>
            <w:p w14:paraId="54BFD0F4">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"_Toc193446468" </w:instrText>
              </w:r>
              <w:r>
                <w:fldChar w:fldCharType="separate"/>
              </w:r>
              <w:r>
                <w:rPr>
                  <w:rStyle w:val="21"/>
                </w:rPr>
                <w:t>四、城市更新活动中的行政征收</w:t>
              </w:r>
              <w:r>
                <w:tab/>
              </w:r>
              <w:r>
                <w:fldChar w:fldCharType="begin"/>
              </w:r>
              <w:r>
                <w:instrText xml:space="preserve"> PAGEREF _Toc193446468 \h </w:instrText>
              </w:r>
              <w:r>
                <w:fldChar w:fldCharType="separate"/>
              </w:r>
              <w:r>
                <w:t>- 10 -</w:t>
              </w:r>
              <w:r>
                <w:fldChar w:fldCharType="end"/>
              </w:r>
              <w:r>
                <w:fldChar w:fldCharType="end"/>
              </w:r>
            </w:p>
            <w:p w14:paraId="2A4F1FDD">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"_Toc193446469" </w:instrText>
              </w:r>
              <w:r>
                <w:fldChar w:fldCharType="separate"/>
              </w:r>
              <w:r>
                <w:rPr>
                  <w:rStyle w:val="21"/>
                </w:rPr>
                <w:t>五、城市更新实施主体</w:t>
              </w:r>
              <w:r>
                <w:tab/>
              </w:r>
              <w:r>
                <w:fldChar w:fldCharType="begin"/>
              </w:r>
              <w:r>
                <w:instrText xml:space="preserve"> PAGEREF _Toc193446469 \h </w:instrText>
              </w:r>
              <w:r>
                <w:fldChar w:fldCharType="separate"/>
              </w:r>
              <w:r>
                <w:t>- 11 -</w:t>
              </w:r>
              <w:r>
                <w:fldChar w:fldCharType="end"/>
              </w:r>
              <w:r>
                <w:fldChar w:fldCharType="end"/>
              </w:r>
            </w:p>
            <w:p w14:paraId="30927BBC">
              <w:pPr>
                <w:pStyle w:val="15"/>
                <w:tabs>
                  <w:tab w:val="right" w:leader="dot" w:pos="8290"/>
                </w:tabs>
                <w:ind w:firstLine="440"/>
                <w:rPr>
                  <w:rFonts w:hAnsiTheme="minorHAnsi" w:eastAsiaTheme="minorEastAsia" w:cstheme="minorBidi"/>
                  <w:b w:val="0"/>
                  <w:bCs w:val="0"/>
                  <w:sz w:val="21"/>
                  <w:szCs w:val="24"/>
                </w:rPr>
              </w:pPr>
              <w:r>
                <w:fldChar w:fldCharType="begin"/>
              </w:r>
              <w:r>
                <w:instrText xml:space="preserve"> HYPERLINK \l "_Toc193446470" </w:instrText>
              </w:r>
              <w:r>
                <w:fldChar w:fldCharType="separate"/>
              </w:r>
              <w:r>
                <w:rPr>
                  <w:rStyle w:val="21"/>
                  <w:rFonts w:ascii="Times New Roman" w:hAnsi="Times New Roman" w:cs="Times New Roman"/>
                  <w:kern w:val="0"/>
                </w:rPr>
                <w:t>1.</w:t>
              </w:r>
              <w:r>
                <w:rPr>
                  <w:rStyle w:val="21"/>
                </w:rPr>
                <w:t>深圳城市更新实施主体</w:t>
              </w:r>
              <w:r>
                <w:tab/>
              </w:r>
              <w:r>
                <w:fldChar w:fldCharType="begin"/>
              </w:r>
              <w:r>
                <w:instrText xml:space="preserve"> PAGEREF _Toc193446470 \h </w:instrText>
              </w:r>
              <w:r>
                <w:fldChar w:fldCharType="separate"/>
              </w:r>
              <w:r>
                <w:t>- 12 -</w:t>
              </w:r>
              <w:r>
                <w:fldChar w:fldCharType="end"/>
              </w:r>
              <w:r>
                <w:fldChar w:fldCharType="end"/>
              </w:r>
            </w:p>
            <w:p w14:paraId="052DA348">
              <w:pPr>
                <w:pStyle w:val="15"/>
                <w:tabs>
                  <w:tab w:val="right" w:leader="dot" w:pos="8290"/>
                </w:tabs>
                <w:ind w:firstLine="440"/>
                <w:rPr>
                  <w:rFonts w:hAnsiTheme="minorHAnsi" w:eastAsiaTheme="minorEastAsia" w:cstheme="minorBidi"/>
                  <w:b w:val="0"/>
                  <w:bCs w:val="0"/>
                  <w:sz w:val="21"/>
                  <w:szCs w:val="24"/>
                </w:rPr>
              </w:pPr>
              <w:r>
                <w:fldChar w:fldCharType="begin"/>
              </w:r>
              <w:r>
                <w:instrText xml:space="preserve"> HYPERLINK \l "_Toc193446471" </w:instrText>
              </w:r>
              <w:r>
                <w:fldChar w:fldCharType="separate"/>
              </w:r>
              <w:r>
                <w:rPr>
                  <w:rStyle w:val="21"/>
                </w:rPr>
                <w:t>2.上海市“更新统筹主体”</w:t>
              </w:r>
              <w:r>
                <w:tab/>
              </w:r>
              <w:r>
                <w:fldChar w:fldCharType="begin"/>
              </w:r>
              <w:r>
                <w:instrText xml:space="preserve"> PAGEREF _Toc193446471 \h </w:instrText>
              </w:r>
              <w:r>
                <w:fldChar w:fldCharType="separate"/>
              </w:r>
              <w:r>
                <w:t>- 12 -</w:t>
              </w:r>
              <w:r>
                <w:fldChar w:fldCharType="end"/>
              </w:r>
              <w:r>
                <w:fldChar w:fldCharType="end"/>
              </w:r>
            </w:p>
            <w:p w14:paraId="2BD6F11D">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"_Toc193446472" </w:instrText>
              </w:r>
              <w:r>
                <w:fldChar w:fldCharType="separate"/>
              </w:r>
              <w:r>
                <w:rPr>
                  <w:rStyle w:val="21"/>
                </w:rPr>
                <w:t>六、城市更新活动中的规划引领</w:t>
              </w:r>
              <w:r>
                <w:tab/>
              </w:r>
              <w:r>
                <w:fldChar w:fldCharType="begin"/>
              </w:r>
              <w:r>
                <w:instrText xml:space="preserve"> PAGEREF _Toc193446472 \h </w:instrText>
              </w:r>
              <w:r>
                <w:fldChar w:fldCharType="separate"/>
              </w:r>
              <w:r>
                <w:t>- 14 -</w:t>
              </w:r>
              <w:r>
                <w:fldChar w:fldCharType="end"/>
              </w:r>
              <w:r>
                <w:fldChar w:fldCharType="end"/>
              </w:r>
            </w:p>
            <w:p w14:paraId="62EF0506">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"_Toc193446473" </w:instrText>
              </w:r>
              <w:r>
                <w:fldChar w:fldCharType="separate"/>
              </w:r>
              <w:r>
                <w:rPr>
                  <w:rStyle w:val="21"/>
                </w:rPr>
                <w:t>七、城市更新与低效用地再开发</w:t>
              </w:r>
              <w:r>
                <w:tab/>
              </w:r>
              <w:r>
                <w:fldChar w:fldCharType="begin"/>
              </w:r>
              <w:r>
                <w:instrText xml:space="preserve"> PAGEREF _Toc193446473 \h </w:instrText>
              </w:r>
              <w:r>
                <w:fldChar w:fldCharType="separate"/>
              </w:r>
              <w:r>
                <w:t>- 17 -</w:t>
              </w:r>
              <w:r>
                <w:fldChar w:fldCharType="end"/>
              </w:r>
              <w:r>
                <w:fldChar w:fldCharType="end"/>
              </w:r>
            </w:p>
            <w:p w14:paraId="64D5A8F1">
              <w:pPr>
                <w:pStyle w:val="10"/>
                <w:tabs>
                  <w:tab w:val="right" w:leader="dot" w:pos="8290"/>
                </w:tabs>
                <w:ind w:firstLine="480"/>
                <w:rPr>
                  <w:rFonts w:hAnsiTheme="minorHAnsi" w:eastAsiaTheme="minorEastAsia" w:cstheme="minorBidi"/>
                  <w:b w:val="0"/>
                  <w:bCs w:val="0"/>
                  <w:iCs w:val="0"/>
                  <w:sz w:val="21"/>
                </w:rPr>
              </w:pPr>
              <w:r>
                <w:fldChar w:fldCharType="begin"/>
              </w:r>
              <w:r>
                <w:instrText xml:space="preserve"> HYPERLINK \l "_Toc193446474" </w:instrText>
              </w:r>
              <w:r>
                <w:fldChar w:fldCharType="separate"/>
              </w:r>
              <w:r>
                <w:rPr>
                  <w:rStyle w:val="21"/>
                </w:rPr>
                <w:t>八、后记</w:t>
              </w:r>
              <w:r>
                <w:tab/>
              </w:r>
              <w:r>
                <w:fldChar w:fldCharType="begin"/>
              </w:r>
              <w:r>
                <w:instrText xml:space="preserve"> PAGEREF _Toc193446474 \h </w:instrText>
              </w:r>
              <w:r>
                <w:fldChar w:fldCharType="separate"/>
              </w:r>
              <w:r>
                <w:t>- 18 -</w:t>
              </w:r>
              <w:r>
                <w:fldChar w:fldCharType="end"/>
              </w:r>
              <w:r>
                <w:fldChar w:fldCharType="end"/>
              </w:r>
            </w:p>
            <w:p w14:paraId="3B24082B">
              <w:pPr>
                <w:tabs>
                  <w:tab w:val="right" w:pos="8828"/>
                </w:tabs>
                <w:spacing w:before="240" w:after="120"/>
                <w:ind w:firstLine="440"/>
                <w:rPr>
                  <w:rFonts w:ascii="Cambria" w:hAnsi="Cambria"/>
                  <w:smallCaps/>
                  <w:sz w:val="22"/>
                  <w:szCs w:val="22"/>
                </w:rPr>
              </w:pPr>
              <w:r>
                <w:rPr>
                  <w:rFonts w:ascii="Cambria" w:hAnsi="Cambria" w:eastAsiaTheme="minorHAnsi"/>
                  <w:b/>
                  <w:bCs/>
                  <w:iCs/>
                  <w:caps/>
                  <w:sz w:val="22"/>
                  <w:szCs w:val="22"/>
                  <w:u w:val="single"/>
                </w:rPr>
                <w:fldChar w:fldCharType="end"/>
              </w:r>
            </w:p>
          </w:sdtContent>
        </w:sdt>
      </w:sdtContent>
    </w:sdt>
    <w:p w14:paraId="3D06E8A7">
      <w:pPr>
        <w:pStyle w:val="25"/>
        <w:ind w:firstLine="560" w:firstLineChars="200"/>
        <w:sectPr>
          <w:footerReference r:id="rId11" w:type="default"/>
          <w:pgSz w:w="11900" w:h="16840"/>
          <w:pgMar w:top="1440" w:right="1800" w:bottom="1440" w:left="1800" w:header="851" w:footer="992" w:gutter="0"/>
          <w:pgNumType w:fmt="numberInDash"/>
          <w:cols w:space="425" w:num="1"/>
          <w:docGrid w:type="lines" w:linePitch="312" w:charSpace="0"/>
        </w:sectPr>
      </w:pPr>
    </w:p>
    <w:p w14:paraId="7325AED7">
      <w:pPr>
        <w:pStyle w:val="25"/>
        <w:ind w:firstLine="560" w:firstLineChars="200"/>
        <w:rPr>
          <w:rFonts w:hint="eastAsia"/>
        </w:rPr>
      </w:pPr>
      <w:r>
        <w:rPr>
          <w:rFonts w:hint="eastAsia"/>
        </w:rPr>
        <w:t>正文</w:t>
      </w:r>
    </w:p>
    <w:p w14:paraId="50C9025D">
      <w:pPr>
        <w:pStyle w:val="2"/>
      </w:pPr>
      <w:bookmarkStart w:id="1" w:name="_Toc193446462"/>
      <w:r>
        <w:rPr>
          <w:rFonts w:hint="eastAsia"/>
        </w:rPr>
        <w:t>一、前言</w:t>
      </w:r>
      <w:bookmarkEnd w:id="1"/>
    </w:p>
    <w:p w14:paraId="64A124E3">
      <w:pPr>
        <w:pStyle w:val="25"/>
        <w:ind w:firstLine="560" w:firstLineChars="200"/>
      </w:pPr>
      <w:r>
        <w:t>城市更新是城市化进程中的重要议题，涉及对既有城市空间的改造与功能提升。</w:t>
      </w:r>
      <w:r>
        <w:rPr>
          <w:rFonts w:hint="eastAsia"/>
        </w:rPr>
        <w:t>根据深度求索DeepSeek的思考，城市更新的本质定义是“</w:t>
      </w:r>
      <w:r>
        <w:t>以存量空间为载体，通过物质环境改造、功能结构调整、社会关系重构等手段，实现城市空间资源再配置的系统性过程</w:t>
      </w:r>
      <w:r>
        <w:rPr>
          <w:rFonts w:hint="eastAsia"/>
        </w:rPr>
        <w:t>，</w:t>
      </w:r>
      <w:r>
        <w:t>其核心在于从“增量扩张”转向“存量优化”，强调空间再生产与社会治理的双重逻辑。</w:t>
      </w:r>
      <w:r>
        <w:rPr>
          <w:rFonts w:hint="eastAsia"/>
        </w:rPr>
        <w:t>”</w:t>
      </w:r>
    </w:p>
    <w:p w14:paraId="06593740">
      <w:pPr>
        <w:pStyle w:val="25"/>
        <w:ind w:firstLine="560" w:firstLineChars="200"/>
      </w:pPr>
      <w:r>
        <w:t>经过四十年的</w:t>
      </w:r>
      <w:r>
        <w:rPr>
          <w:rFonts w:hint="eastAsia"/>
        </w:rPr>
        <w:t>社会经济</w:t>
      </w:r>
      <w:r>
        <w:t>高速发展，全国</w:t>
      </w:r>
      <w:r>
        <w:rPr>
          <w:rFonts w:hint="eastAsia"/>
        </w:rPr>
        <w:t>一线城市将</w:t>
      </w:r>
      <w:r>
        <w:t>率先进入存量土地开发阶段</w:t>
      </w:r>
      <w:r>
        <w:rPr>
          <w:rFonts w:hint="eastAsia"/>
        </w:rPr>
        <w:t>。城市更新将接力传统的房地产开发与旧改模式，</w:t>
      </w:r>
      <w:r>
        <w:t>通过盘活存量土地进行二次开发，实现土地资源的节约集约利用</w:t>
      </w:r>
      <w:r>
        <w:rPr>
          <w:rFonts w:hint="eastAsia"/>
        </w:rPr>
        <w:t>，并且城市更新的过程也有助于</w:t>
      </w:r>
      <w:r>
        <w:t>完善公共服务设施，促进产业转型升级，改善城市投资环境和人居环境，推动城市可持续发展。</w:t>
      </w:r>
    </w:p>
    <w:p w14:paraId="1823EDA5">
      <w:pPr>
        <w:pStyle w:val="2"/>
      </w:pPr>
      <w:bookmarkStart w:id="2" w:name="_Toc193446463"/>
      <w:r>
        <w:rPr>
          <w:rFonts w:hint="eastAsia"/>
        </w:rPr>
        <w:t>二、城市更新对象</w:t>
      </w:r>
      <w:bookmarkEnd w:id="2"/>
    </w:p>
    <w:p w14:paraId="3E9B84A7">
      <w:pPr>
        <w:pStyle w:val="25"/>
        <w:ind w:firstLine="560" w:firstLineChars="200"/>
      </w:pPr>
      <w:r>
        <w:rPr>
          <w:rFonts w:hint="eastAsia"/>
        </w:rPr>
        <w:t>城市更新活动的适用范围广泛。</w:t>
      </w:r>
    </w:p>
    <w:p w14:paraId="5AC6362F">
      <w:pPr>
        <w:pStyle w:val="25"/>
        <w:ind w:firstLine="560" w:firstLineChars="200"/>
      </w:pPr>
      <w:r>
        <w:rPr>
          <w:rFonts w:hint="eastAsia"/>
        </w:rPr>
        <w:t>《</w:t>
      </w:r>
      <w:r>
        <w:t>深圳经济特区城市更新条例</w:t>
      </w:r>
      <w:r>
        <w:rPr>
          <w:rFonts w:hint="eastAsia"/>
        </w:rPr>
        <w:t>》所称城市更新，具备包括以下情形区域的更新活动：（1</w:t>
      </w:r>
      <w:r>
        <w:t>）城市基础设施和公共服务设施急需完善；（2）环境恶劣或者存在重大安全隐患；（</w:t>
      </w:r>
      <w:r>
        <w:rPr>
          <w:rFonts w:hint="eastAsia"/>
        </w:rPr>
        <w:t>3</w:t>
      </w:r>
      <w:r>
        <w:t>）现有土地用途、建筑物使用功能或者资源、能源利用明显不符合经济社会发展要求，影响城市规划实施；（</w:t>
      </w:r>
      <w:r>
        <w:rPr>
          <w:rFonts w:hint="eastAsia"/>
        </w:rPr>
        <w:t>4</w:t>
      </w:r>
      <w:r>
        <w:t>）经市人民政府批准进行城市更新的其他情形。</w:t>
      </w:r>
    </w:p>
    <w:p w14:paraId="238C4D51">
      <w:pPr>
        <w:pStyle w:val="25"/>
        <w:ind w:firstLine="560" w:firstLineChars="200"/>
      </w:pPr>
      <w:r>
        <w:rPr>
          <w:rFonts w:hint="eastAsia"/>
        </w:rPr>
        <w:t>《</w:t>
      </w:r>
      <w:r>
        <w:t>上海市城市更新条例</w:t>
      </w:r>
      <w:r>
        <w:rPr>
          <w:rFonts w:hint="eastAsia"/>
        </w:rPr>
        <w:t>》所称的城市更新，具体包括以下更新活动：</w:t>
      </w:r>
      <w:r>
        <w:t>（</w:t>
      </w:r>
      <w:r>
        <w:rPr>
          <w:rFonts w:hint="eastAsia"/>
        </w:rPr>
        <w:t>1</w:t>
      </w:r>
      <w:r>
        <w:t>）加强基础设施和公共设施建设，提高超大城市服务水平；（</w:t>
      </w:r>
      <w:r>
        <w:rPr>
          <w:rFonts w:hint="eastAsia"/>
        </w:rPr>
        <w:t>2</w:t>
      </w:r>
      <w:r>
        <w:t>）优化区域功能布局，塑造城市空间新格局；（</w:t>
      </w:r>
      <w:r>
        <w:rPr>
          <w:rFonts w:hint="eastAsia"/>
        </w:rPr>
        <w:t>3</w:t>
      </w:r>
      <w:r>
        <w:t>）提升整体居住品质，改善城市人居环境；（</w:t>
      </w:r>
      <w:r>
        <w:rPr>
          <w:rFonts w:hint="eastAsia"/>
        </w:rPr>
        <w:t>4</w:t>
      </w:r>
      <w:r>
        <w:t>）加强历史文化保护，塑造城市特色风貌；（</w:t>
      </w:r>
      <w:r>
        <w:rPr>
          <w:rFonts w:hint="eastAsia"/>
        </w:rPr>
        <w:t>5</w:t>
      </w:r>
      <w:r>
        <w:t>）市人民政府认定的其他城市更新活动。</w:t>
      </w:r>
    </w:p>
    <w:p w14:paraId="5A661DE6">
      <w:pPr>
        <w:pStyle w:val="25"/>
        <w:ind w:firstLine="560" w:firstLineChars="200"/>
      </w:pPr>
      <w:r>
        <w:rPr>
          <w:rFonts w:hint="eastAsia"/>
        </w:rPr>
        <w:t>《</w:t>
      </w:r>
      <w:r>
        <w:t>浙江省城镇社区建设更新条例（草案）</w:t>
      </w:r>
      <w:r>
        <w:rPr>
          <w:rFonts w:hint="eastAsia"/>
        </w:rPr>
        <w:t>》以概况的方式将</w:t>
      </w:r>
      <w:r>
        <w:t>城镇社区建设更新</w:t>
      </w:r>
      <w:r>
        <w:rPr>
          <w:rFonts w:hint="eastAsia"/>
        </w:rPr>
        <w:t>范围界定为：</w:t>
      </w:r>
      <w:r>
        <w:t>通过新建、改建、扩建等方式，对城镇社区公共服务和配套基础设施功能以及居住环境和住宅品质持续提升的活动。</w:t>
      </w:r>
    </w:p>
    <w:p w14:paraId="257E8B59">
      <w:pPr>
        <w:pStyle w:val="2"/>
      </w:pPr>
      <w:bookmarkStart w:id="3" w:name="_Toc193446464"/>
      <w:r>
        <w:rPr>
          <w:rFonts w:hint="eastAsia"/>
        </w:rPr>
        <w:t>三、城市更新工作流程</w:t>
      </w:r>
      <w:bookmarkEnd w:id="3"/>
    </w:p>
    <w:p w14:paraId="18653EB0">
      <w:pPr>
        <w:pStyle w:val="3"/>
        <w:ind w:firstLine="562"/>
      </w:pPr>
      <w:bookmarkStart w:id="4" w:name="_Toc193446465"/>
      <w:r>
        <w:rPr>
          <w:rFonts w:hint="eastAsia"/>
        </w:rPr>
        <w:t>（一）深圳模式</w:t>
      </w:r>
      <w:bookmarkEnd w:id="4"/>
    </w:p>
    <w:p w14:paraId="518AEACA">
      <w:pPr>
        <w:pStyle w:val="25"/>
        <w:ind w:firstLine="480"/>
      </w:pPr>
      <w:r>
        <w:rPr>
          <w:rFonts w:hint="eastAsia"/>
        </w:rPr>
        <w:t>《</w:t>
      </w:r>
      <w:r>
        <w:t>深圳经济特区城市更新条例</w:t>
      </w:r>
      <w:r>
        <w:rPr>
          <w:rFonts w:hint="eastAsia"/>
        </w:rPr>
        <w:t>》区分</w:t>
      </w:r>
      <w:r>
        <w:t>拆除重建</w:t>
      </w:r>
      <w:r>
        <w:rPr>
          <w:rFonts w:hint="eastAsia"/>
        </w:rPr>
        <w:t>和</w:t>
      </w:r>
      <w:r>
        <w:t>综合整治</w:t>
      </w:r>
      <w:r>
        <w:rPr>
          <w:rFonts w:hint="eastAsia"/>
        </w:rPr>
        <w:t>两类城市更新活</w:t>
      </w:r>
      <w:r>
        <w:t>动</w:t>
      </w:r>
      <w:r>
        <w:rPr>
          <w:rFonts w:hint="eastAsia"/>
        </w:rPr>
        <w:t>。</w:t>
      </w:r>
      <w:r>
        <w:t>拆除重建类城市更新</w:t>
      </w:r>
      <w:r>
        <w:rPr>
          <w:rFonts w:hint="eastAsia"/>
        </w:rPr>
        <w:t>，</w:t>
      </w:r>
      <w:r>
        <w:t>是指通过综合整治方式难以改善或者消除本条例第二条第二款规定的情形，需要拆除全部或者大部分原有建筑物，并按照规划进行重新建设的活动。综合整治类城市更新</w:t>
      </w:r>
      <w:r>
        <w:rPr>
          <w:rFonts w:hint="eastAsia"/>
        </w:rPr>
        <w:t>，</w:t>
      </w:r>
      <w:r>
        <w:t>是指在维持现状建设格局基本不变的前提下，采取修缮、加建、改建、扩建、局部拆建或者改变功能等一种或者多种措施，对建成区进行重新完善的活动。</w:t>
      </w:r>
      <w:r>
        <w:rPr>
          <w:rFonts w:hint="eastAsia"/>
        </w:rPr>
        <w:t>以单一物权人拆除重建为例，基于深圳模式下，城市更新工作流程如下：</w:t>
      </w:r>
    </w:p>
    <w:p w14:paraId="259C7C16">
      <w:pPr>
        <w:pStyle w:val="25"/>
        <w:ind w:firstLine="560" w:firstLineChars="200"/>
      </w:pPr>
      <w:r>
        <w:rPr>
          <w:rFonts w:hint="eastAsia"/>
        </w:rPr>
        <w:t>1</w:t>
      </w:r>
      <w:r>
        <w:t>.</w:t>
      </w:r>
      <w:r>
        <w:rPr>
          <w:rFonts w:hint="eastAsia"/>
        </w:rPr>
        <w:t>单一物权人</w:t>
      </w:r>
      <w:r>
        <w:t>组织开展更新改造现状调研、城市更新单元拟订、意愿征集、可行性分析等工作</w:t>
      </w:r>
      <w:r>
        <w:rPr>
          <w:rFonts w:hint="eastAsia"/>
        </w:rPr>
        <w:t>；</w:t>
      </w:r>
    </w:p>
    <w:p w14:paraId="2E25AECC">
      <w:pPr>
        <w:pStyle w:val="25"/>
        <w:ind w:firstLine="560" w:firstLineChars="200"/>
      </w:pPr>
      <w:r>
        <w:rPr>
          <w:rFonts w:hint="eastAsia"/>
        </w:rPr>
        <w:t>2</w:t>
      </w:r>
      <w:r>
        <w:t>.</w:t>
      </w:r>
      <w:r>
        <w:rPr>
          <w:rFonts w:hint="eastAsia"/>
        </w:rPr>
        <w:t>单一物权人作为申报主体申报</w:t>
      </w:r>
      <w:r>
        <w:t>城市更新单元计划</w:t>
      </w:r>
      <w:r>
        <w:rPr>
          <w:rFonts w:hint="eastAsia"/>
        </w:rPr>
        <w:t>，区城市更新部门负责对</w:t>
      </w:r>
      <w:r>
        <w:t>城市更新单元计划</w:t>
      </w:r>
      <w:r>
        <w:rPr>
          <w:rFonts w:hint="eastAsia"/>
        </w:rPr>
        <w:t>草案进行审查，审查通过的，向社会公示（公示时间不少于十个工作日）后报区政府审批，而后再向社会公告该单元计划。</w:t>
      </w:r>
      <w:r>
        <w:t>城市更新单元计划依照城市更新专项规划和法定图则等法定规划制定，包括更新范围、申报主体、物业权利人更新意愿、更新方向和公共用地等内容。其中，更新方向应当按照法定图则等法定规划的用地主导功能确定。</w:t>
      </w:r>
    </w:p>
    <w:p w14:paraId="6538B7D9">
      <w:pPr>
        <w:pStyle w:val="25"/>
        <w:ind w:firstLine="560" w:firstLineChars="200"/>
      </w:pPr>
      <w:r>
        <w:rPr>
          <w:rFonts w:hint="eastAsia"/>
        </w:rPr>
        <w:t>3</w:t>
      </w:r>
      <w:r>
        <w:t>.</w:t>
      </w:r>
      <w:r>
        <w:rPr>
          <w:rFonts w:hint="eastAsia"/>
        </w:rPr>
        <w:t>申报主体</w:t>
      </w:r>
      <w:r>
        <w:t>委托具有相应资质的机构编制城市更新单元规划草案，报区城市更新部门审查。经审查通过的，区城市更新部门应当将城市更新单元规划草案向社会公示</w:t>
      </w:r>
      <w:r>
        <w:rPr>
          <w:rFonts w:hint="eastAsia"/>
        </w:rPr>
        <w:t>（</w:t>
      </w:r>
      <w:r>
        <w:t>公示时间不得少于三十日</w:t>
      </w:r>
      <w:r>
        <w:rPr>
          <w:rFonts w:hint="eastAsia"/>
        </w:rPr>
        <w:t>）后报区政府审批</w:t>
      </w:r>
      <w:r>
        <w:t>。城市更新单元规划是城市更新项目实施的规划依据，应当根据城市更新单元计划、有关技术规范并结合法定图则等各项控制要求进行编制，并明确下列事项：（</w:t>
      </w:r>
      <w:r>
        <w:rPr>
          <w:rFonts w:hint="eastAsia"/>
        </w:rPr>
        <w:t>1</w:t>
      </w:r>
      <w:r>
        <w:t>）城市更新单元的目标定位、更新模式、土地利用、开发建设指标、道路交通、市政工程、城市设计、利益平衡方案等；（</w:t>
      </w:r>
      <w:r>
        <w:rPr>
          <w:rFonts w:hint="eastAsia"/>
        </w:rPr>
        <w:t>2</w:t>
      </w:r>
      <w:r>
        <w:t>）学校、医院、养老院、公安派出所、消防站、文化活动中心、综合体育中心、公交首末站、变电站等公共服务设施建设要求；（</w:t>
      </w:r>
      <w:r>
        <w:rPr>
          <w:rFonts w:hint="eastAsia"/>
        </w:rPr>
        <w:t>3</w:t>
      </w:r>
      <w:r>
        <w:t>）创新型产业用房、公共住房等配建要求；（</w:t>
      </w:r>
      <w:r>
        <w:rPr>
          <w:rFonts w:hint="eastAsia"/>
        </w:rPr>
        <w:t>4</w:t>
      </w:r>
      <w:r>
        <w:t>）无偿移交政府的公共用地范围、面积；（</w:t>
      </w:r>
      <w:r>
        <w:rPr>
          <w:rFonts w:hint="eastAsia"/>
        </w:rPr>
        <w:t>5</w:t>
      </w:r>
      <w:r>
        <w:t>）其他事项。</w:t>
      </w:r>
    </w:p>
    <w:p w14:paraId="6EF2610D">
      <w:pPr>
        <w:pStyle w:val="25"/>
        <w:ind w:firstLine="560" w:firstLineChars="200"/>
      </w:pPr>
      <w:r>
        <w:rPr>
          <w:rFonts w:hint="eastAsia"/>
        </w:rPr>
        <w:t>4</w:t>
      </w:r>
      <w:r>
        <w:t>.</w:t>
      </w:r>
      <w:r>
        <w:rPr>
          <w:rFonts w:hint="eastAsia"/>
        </w:rPr>
        <w:t>单一物权人与市场主体（具有房地产开发资质的企业）签订搬迁补偿协议（可以采用</w:t>
      </w:r>
      <w:r>
        <w:t>产权置换、货币补偿或者两者相结合等方式</w:t>
      </w:r>
      <w:r>
        <w:rPr>
          <w:rFonts w:hint="eastAsia"/>
        </w:rPr>
        <w:t>），或者合作实施城市更新，并</w:t>
      </w:r>
      <w:r>
        <w:t>应当向区城市更新部门申请确认实施主体</w:t>
      </w:r>
      <w:r>
        <w:rPr>
          <w:rFonts w:hint="eastAsia"/>
        </w:rPr>
        <w:t>。</w:t>
      </w:r>
    </w:p>
    <w:p w14:paraId="161018B8">
      <w:pPr>
        <w:pStyle w:val="25"/>
        <w:ind w:firstLine="560" w:firstLineChars="200"/>
      </w:pPr>
      <w:r>
        <w:rPr>
          <w:rFonts w:hint="eastAsia"/>
        </w:rPr>
        <w:t>5</w:t>
      </w:r>
      <w:r>
        <w:t>.区城市更新部门应当与实施主体签订项目实施监管协议</w:t>
      </w:r>
      <w:r>
        <w:rPr>
          <w:rFonts w:hint="eastAsia"/>
        </w:rPr>
        <w:t>。</w:t>
      </w:r>
      <w:r>
        <w:t>涉及产业项目的，实施主体还应当与区产业主管部门签订产业发展监管协议，明确监管要求，并将产业发展监管协议作为土地使用权出让合同附件</w:t>
      </w:r>
      <w:r>
        <w:rPr>
          <w:rFonts w:hint="eastAsia"/>
        </w:rPr>
        <w:t>。</w:t>
      </w:r>
    </w:p>
    <w:p w14:paraId="081F96C4">
      <w:pPr>
        <w:pStyle w:val="25"/>
        <w:ind w:firstLine="560" w:firstLineChars="200"/>
      </w:pPr>
      <w:r>
        <w:rPr>
          <w:rFonts w:hint="eastAsia"/>
        </w:rPr>
        <w:t>6</w:t>
      </w:r>
      <w:r>
        <w:t>.实施主体向区住房建设部门办理备案手续</w:t>
      </w:r>
      <w:r>
        <w:rPr>
          <w:rFonts w:hint="eastAsia"/>
        </w:rPr>
        <w:t>后，拆除</w:t>
      </w:r>
      <w:r>
        <w:t>城市更新单元拆除范围内建筑物</w:t>
      </w:r>
      <w:r>
        <w:rPr>
          <w:rFonts w:hint="eastAsia"/>
        </w:rPr>
        <w:t>，</w:t>
      </w:r>
      <w:r>
        <w:t>依法办理不动产权属注销登记手续</w:t>
      </w:r>
      <w:r>
        <w:rPr>
          <w:rFonts w:hint="eastAsia"/>
        </w:rPr>
        <w:t>；</w:t>
      </w:r>
    </w:p>
    <w:p w14:paraId="2BBE7F8E">
      <w:pPr>
        <w:pStyle w:val="25"/>
        <w:ind w:firstLine="560" w:firstLineChars="200"/>
      </w:pPr>
      <w:r>
        <w:rPr>
          <w:rFonts w:hint="eastAsia"/>
        </w:rPr>
        <w:t>7</w:t>
      </w:r>
      <w:r>
        <w:t>.</w:t>
      </w:r>
      <w:r>
        <w:rPr>
          <w:rFonts w:hint="eastAsia"/>
        </w:rPr>
        <w:t>实施主体</w:t>
      </w:r>
      <w:r>
        <w:t>申请以协议方式取得更新单元规划确定的开发建设用地使用权，并签订国有建设用地使用权出让合同。项目拆除范围内的原土地使用权自动终止，出让后的土地使用权期限重新起算。国有建设用地使用权出让合同应当明确城市更新单元规划和项目实施监管协议的相关内容。拆除范围内土地涉及未完善土地征转用补偿手续的，在签订国有建设用地使用权出让合同前，由原农村集体经济组织继受单位自行厘清经济关系后与相关部门签订完善手续的协议，政府不再另行补偿。</w:t>
      </w:r>
    </w:p>
    <w:p w14:paraId="054800A6">
      <w:pPr>
        <w:pStyle w:val="25"/>
        <w:ind w:firstLine="560" w:firstLineChars="200"/>
      </w:pPr>
      <w:r>
        <w:rPr>
          <w:rFonts w:hint="eastAsia"/>
        </w:rPr>
        <w:t>8</w:t>
      </w:r>
      <w:r>
        <w:t>.被搬迁人选择产权置换的，置换物业按照经区城市更新部门备案的搬迁补偿协议约定登记至被搬迁人名下，依法免征契税</w:t>
      </w:r>
      <w:r>
        <w:rPr>
          <w:rFonts w:hint="eastAsia"/>
        </w:rPr>
        <w:t>。</w:t>
      </w:r>
    </w:p>
    <w:p w14:paraId="7CB5102C">
      <w:pPr>
        <w:pStyle w:val="3"/>
        <w:ind w:firstLine="562"/>
      </w:pPr>
      <w:bookmarkStart w:id="5" w:name="_Toc193446466"/>
      <w:r>
        <w:rPr>
          <w:rFonts w:hint="eastAsia"/>
        </w:rPr>
        <w:t>（二）上海模式</w:t>
      </w:r>
      <w:bookmarkEnd w:id="5"/>
    </w:p>
    <w:p w14:paraId="50BF682B">
      <w:pPr>
        <w:pStyle w:val="25"/>
        <w:ind w:firstLine="560" w:firstLineChars="200"/>
      </w:pPr>
      <w:r>
        <w:rPr>
          <w:rFonts w:hint="eastAsia"/>
        </w:rPr>
        <w:t>上海城市更新分区域更新与零星更新两大类。区</w:t>
      </w:r>
      <w:r>
        <w:t>域更新是针对需要整体提升转型的区域，由更新统筹主体（以下简称统筹主体）按照规划，统筹各利益主体更新意愿，达成共识，编制区域更新方案，组织实施城市更新。零星更新主要针对有自主更新意愿的自有土地房屋，在符合整体规划的前提下，编制项目更新方案，实施城市更新。</w:t>
      </w:r>
      <w:r>
        <w:rPr>
          <w:rFonts w:hint="eastAsia"/>
        </w:rPr>
        <w:t>上海区级政府城市更新分类中也有将“两旧一村”单独分列，具备包括旧区改造、旧住房成套改造以及“城中村”改造。</w:t>
      </w:r>
    </w:p>
    <w:p w14:paraId="0E67031F">
      <w:pPr>
        <w:pStyle w:val="25"/>
        <w:ind w:firstLine="560" w:firstLineChars="200"/>
      </w:pPr>
      <w:r>
        <w:rPr>
          <w:rFonts w:hint="eastAsia"/>
        </w:rPr>
        <w:t>以单一物权人（特指零星更新项目）拆除重建为例，基于上海模式下，工作流程如下：</w:t>
      </w:r>
    </w:p>
    <w:p w14:paraId="17ABD57D">
      <w:pPr>
        <w:pStyle w:val="25"/>
        <w:ind w:firstLine="560" w:firstLineChars="200"/>
      </w:pPr>
      <w:r>
        <w:rPr>
          <w:rFonts w:hint="eastAsia"/>
        </w:rPr>
        <w:t>1</w:t>
      </w:r>
      <w:r>
        <w:t>.</w:t>
      </w:r>
      <w:r>
        <w:rPr>
          <w:rFonts w:hint="eastAsia"/>
        </w:rPr>
        <w:t>单一物权人实施更新，可以自行实施，也可以采取与市场主体合作方式，以下为论述方便，统称为“申请人”。申请人经城市更新信息系统，向区规资部门申请项目相关信息。区规资部门核对项目后，提供规划信息、地籍信息、城市更新支持政策等更新项目所需的基本信息。</w:t>
      </w:r>
    </w:p>
    <w:p w14:paraId="753D3AE1">
      <w:pPr>
        <w:pStyle w:val="25"/>
        <w:ind w:firstLine="560" w:firstLineChars="200"/>
      </w:pPr>
      <w:r>
        <w:t>2.</w:t>
      </w:r>
      <w:r>
        <w:rPr>
          <w:rFonts w:hint="eastAsia"/>
        </w:rPr>
        <w:t>申请人经与区政府、规资部门协商后，开展项目更新方案草案（包括实施主体、规划实施方案等具体内容）的编制工作、建筑验证、日照分析等工作，并拟定全生命周期管理清单。</w:t>
      </w:r>
    </w:p>
    <w:p w14:paraId="5C1EEA81">
      <w:pPr>
        <w:pStyle w:val="25"/>
        <w:ind w:firstLine="560" w:firstLineChars="200"/>
      </w:pPr>
      <w:r>
        <w:t>3.</w:t>
      </w:r>
      <w:r>
        <w:rPr>
          <w:rFonts w:hint="eastAsia"/>
        </w:rPr>
        <w:t>项目</w:t>
      </w:r>
      <w:r>
        <w:t>更新方案</w:t>
      </w:r>
      <w:r>
        <w:rPr>
          <w:rFonts w:hint="eastAsia"/>
        </w:rPr>
        <w:t>草案</w:t>
      </w:r>
      <w:r>
        <w:t>报区规资部门，</w:t>
      </w:r>
      <w:r>
        <w:rPr>
          <w:rFonts w:hint="eastAsia"/>
        </w:rPr>
        <w:t>组织部门意见征询，按需组织城市更新专家委员会评审</w:t>
      </w:r>
      <w:r>
        <w:t>。</w:t>
      </w:r>
      <w:r>
        <w:rPr>
          <w:rFonts w:hint="eastAsia"/>
        </w:rPr>
        <w:t>项目更新方案成果</w:t>
      </w:r>
      <w:r>
        <w:t>区</w:t>
      </w:r>
      <w:r>
        <w:rPr>
          <w:rFonts w:hint="eastAsia"/>
        </w:rPr>
        <w:t>包括更新方案文本、总平面图、全生命周期管理清单。成果报区</w:t>
      </w:r>
      <w:r>
        <w:t>规资部门后</w:t>
      </w:r>
      <w:r>
        <w:rPr>
          <w:rFonts w:hint="eastAsia"/>
        </w:rPr>
        <w:t>，由区政府</w:t>
      </w:r>
      <w:r>
        <w:t>予以认定，并向社会公布。</w:t>
      </w:r>
    </w:p>
    <w:p w14:paraId="38FCF99D">
      <w:pPr>
        <w:pStyle w:val="25"/>
        <w:ind w:firstLine="560" w:firstLineChars="200"/>
      </w:pPr>
      <w:r>
        <w:t>4.</w:t>
      </w:r>
      <w:r>
        <w:rPr>
          <w:rFonts w:hint="eastAsia"/>
        </w:rPr>
        <w:t>项目</w:t>
      </w:r>
      <w:r>
        <w:t>更新方案</w:t>
      </w:r>
      <w:r>
        <w:rPr>
          <w:rFonts w:hint="eastAsia"/>
        </w:rPr>
        <w:t>经认定后</w:t>
      </w:r>
      <w:r>
        <w:t>，</w:t>
      </w:r>
      <w:r>
        <w:rPr>
          <w:rFonts w:hint="eastAsia"/>
        </w:rPr>
        <w:t>项目建设单位便可依法办理立项、土地、规划、建设等手续。相关前期准备工作，包括不动产权籍调查、土壤环境调查与治理，单一物权人通常不涉及产权归集，若特殊情况，在前期准备过程中实施产权归集。相关用地手续方面，</w:t>
      </w:r>
      <w:r>
        <w:t>可通过存量补地价方式重新设立建设用地使用权，可依法重新设定土地使用期限，并可依据项目需要采用长期租赁、先租后让、弹性年期、作价出资(入股)等多元复合方式实施。对不具备独立开发条件的零星土地，可以通过扩大用地方式予以整体利用</w:t>
      </w:r>
      <w:r>
        <w:rPr>
          <w:rFonts w:hint="eastAsia"/>
        </w:rPr>
        <w:t>或者</w:t>
      </w:r>
      <w:r>
        <w:t>允许不适宜单独开发的储备土地，以协议出让方式结合周边城市更新项目一并实施。城市更新涉及补缴土地出让金的，应当在土地价格市场评估时，综合考虑土地取得成本、公共要素贡献等因素，确定土地出让金</w:t>
      </w:r>
      <w:r>
        <w:rPr>
          <w:rFonts w:hint="eastAsia"/>
        </w:rPr>
        <w:t>，并可探索</w:t>
      </w:r>
      <w:r>
        <w:t>土地</w:t>
      </w:r>
      <w:r>
        <w:rPr>
          <w:rFonts w:hint="eastAsia"/>
        </w:rPr>
        <w:t>出让金</w:t>
      </w:r>
      <w:r>
        <w:t>分期缴纳等政策。</w:t>
      </w:r>
      <w:r>
        <w:rPr>
          <w:rFonts w:hint="eastAsia"/>
        </w:rPr>
        <w:t>单一物权人利用自有土地实施城市更新的，对于规划保留地块，在原用地范围内，按照原用途对建筑物进行改建、拆除重建并不超过原登记合法建筑面积的，无需办理用地手续，直接办理建设相关手续。</w:t>
      </w:r>
    </w:p>
    <w:p w14:paraId="77574A8A">
      <w:pPr>
        <w:pStyle w:val="25"/>
        <w:ind w:firstLine="560" w:firstLineChars="200"/>
      </w:pPr>
      <w:r>
        <w:t>物业权利人引入市场主体实施的</w:t>
      </w:r>
      <w:r>
        <w:rPr>
          <w:rFonts w:hint="eastAsia"/>
        </w:rPr>
        <w:t>城市更新的，</w:t>
      </w:r>
      <w:r>
        <w:t>市场主体与物业权利人签订不动产权益转移的相关协议后，可作为实施主体办理用地、建设许可手续，在物业权利人注销不动产登记后，实施主体申请建设用地使用权首次登记。</w:t>
      </w:r>
      <w:r>
        <w:rPr>
          <w:rFonts w:hint="eastAsia"/>
        </w:rPr>
        <w:t>项目建设单位在完成建构筑物拆除、绿化管线搬迁等前期基础性开发工作后，应当依法办理建设工程设计方案审批、建设工程规划许可、施工许可、竣工验收等建设手续。</w:t>
      </w:r>
    </w:p>
    <w:p w14:paraId="68AC7556">
      <w:pPr>
        <w:pStyle w:val="3"/>
        <w:ind w:firstLine="562"/>
      </w:pPr>
      <w:bookmarkStart w:id="6" w:name="_Toc193446467"/>
      <w:r>
        <w:rPr>
          <w:rFonts w:hint="eastAsia"/>
        </w:rPr>
        <w:t>（三）《浙江省城镇社区建设更新条例（草案）》模式</w:t>
      </w:r>
      <w:bookmarkEnd w:id="6"/>
    </w:p>
    <w:p w14:paraId="2EB10533">
      <w:pPr>
        <w:pStyle w:val="25"/>
        <w:ind w:firstLine="560" w:firstLineChars="200"/>
      </w:pPr>
      <w:r>
        <w:rPr>
          <w:rFonts w:hint="eastAsia"/>
        </w:rPr>
        <w:t>基于《浙江省城镇社区建设更新条例（草案）》，具体工作流程如下：</w:t>
      </w:r>
    </w:p>
    <w:p w14:paraId="2F73375C">
      <w:pPr>
        <w:pStyle w:val="25"/>
        <w:ind w:firstLine="560" w:firstLineChars="200"/>
      </w:pPr>
      <w:r>
        <w:rPr>
          <w:rFonts w:hint="eastAsia"/>
        </w:rPr>
        <w:t>1</w:t>
      </w:r>
      <w:r>
        <w:t>.</w:t>
      </w:r>
      <w:r>
        <w:rPr>
          <w:rFonts w:hint="eastAsia"/>
        </w:rPr>
        <w:t>浙江省</w:t>
      </w:r>
      <w:r>
        <w:t>《条例》草案构建了“专项规划—项目库—年度实施计划”的管理路径</w:t>
      </w:r>
      <w:r>
        <w:rPr>
          <w:rFonts w:hint="eastAsia"/>
        </w:rPr>
        <w:t>。</w:t>
      </w:r>
      <w:r>
        <w:t>纳入更新项目库</w:t>
      </w:r>
      <w:r>
        <w:rPr>
          <w:rFonts w:hint="eastAsia"/>
        </w:rPr>
        <w:t>是</w:t>
      </w:r>
      <w:r>
        <w:t>作为列入年度实施计划、启动建设更新项目的必要条件。具备实施条件的建设更新项目，经征求有关单位、个人意见和核实论证，可以直接纳入建设更新项目实施年度计划建议</w:t>
      </w:r>
      <w:r>
        <w:rPr>
          <w:rFonts w:hint="eastAsia"/>
        </w:rPr>
        <w:t>。</w:t>
      </w:r>
      <w:r>
        <w:t>县（市、区）人民政府应当组织发展改革、财政、自然资源、住房城乡建设等部门对城镇社区建设更新项目实施年度计划建议进行联合会商，制定项目实施年度计划</w:t>
      </w:r>
      <w:r>
        <w:rPr>
          <w:rFonts w:hint="eastAsia"/>
        </w:rPr>
        <w:t>。</w:t>
      </w:r>
    </w:p>
    <w:p w14:paraId="464A279A">
      <w:pPr>
        <w:pStyle w:val="25"/>
        <w:ind w:firstLine="560" w:firstLineChars="200"/>
      </w:pPr>
      <w:r>
        <w:rPr>
          <w:rFonts w:hint="eastAsia"/>
        </w:rPr>
        <w:t>2</w:t>
      </w:r>
      <w:r>
        <w:t>.更新实施主体实施城镇社区更新活动，应当开展区域现状基础调查、更新意愿征询等工作，根据国土空间详细规划等，制定更新项目实施方案。更新项目实施方案主要包括更新方式、设计方案、资金统筹、安全保障和运营方案等内容。制定更新项目实施方案，应当征询利害关系人意见。县（市、区）住房城乡建设、自然资源等有关部门应当加强对更新项目实施方案编制的指导。</w:t>
      </w:r>
    </w:p>
    <w:p w14:paraId="70E5F21A">
      <w:pPr>
        <w:pStyle w:val="25"/>
        <w:ind w:firstLine="560" w:firstLineChars="200"/>
      </w:pPr>
      <w:r>
        <w:rPr>
          <w:rFonts w:hint="eastAsia"/>
        </w:rPr>
        <w:t>3</w:t>
      </w:r>
      <w:r>
        <w:t>.更新实施主体应当将更新项目实施方案报送县（市、区）住房城乡建设主管部门，并附有关意见的采纳情况和说明。县（市、区）住房城乡建设主管部门应当会同发展改革、财政、自然资源等部门以及街道办事处或者镇人民政府对更新项目实施方案进行联合会审。更新实施主体应当向社会公布经会审认定的实施方案，按照认定后的实施方案依法开展更新活动。</w:t>
      </w:r>
    </w:p>
    <w:p w14:paraId="24BA94F0">
      <w:pPr>
        <w:pStyle w:val="25"/>
        <w:ind w:firstLine="560" w:firstLineChars="200"/>
      </w:pPr>
      <w:r>
        <w:rPr>
          <w:rFonts w:hint="eastAsia"/>
        </w:rPr>
        <w:t>4</w:t>
      </w:r>
      <w:r>
        <w:t>.</w:t>
      </w:r>
      <w:r>
        <w:rPr>
          <w:rFonts w:hint="eastAsia"/>
        </w:rPr>
        <w:t>拆除重建类城市更新的建设流程，应当在完成建构筑物拆除、绿化、管线搬迁等前提基础工作后，依法办理建设工程设计方案审批、建设工程规划许可、施工许可、竣工验收、不动产权登记等手续。</w:t>
      </w:r>
    </w:p>
    <w:p w14:paraId="24D9CA60">
      <w:pPr>
        <w:pStyle w:val="25"/>
        <w:ind w:firstLine="560" w:firstLineChars="200"/>
      </w:pPr>
      <w:r>
        <w:rPr>
          <w:rFonts w:hint="eastAsia"/>
        </w:rPr>
        <w:t>浙建</w:t>
      </w:r>
      <w:r>
        <w:t>〔2024〕2号</w:t>
      </w:r>
      <w:r>
        <w:rPr>
          <w:rFonts w:hint="eastAsia"/>
        </w:rPr>
        <w:t>《关于稳步推进城镇老旧小区自主更新工作的指导意见（试行）》，积极探索以业主自主更新方式推进拆改结合型城镇老旧小区改造，在组织实施程序与要求上，通过联合审查方式优化流程、简化审批路径。在施工建设手续上，更新方案经属地政府组织联审论证并报市政府批准后，直接办理施工许可手续，不再办理权证注销、用地审批、规划许可等手续，经批准增加的建筑面积不再增收土地价款。项目建成并联合验收后，按“以证换证”方式办理不动产变更登记手续。</w:t>
      </w:r>
    </w:p>
    <w:p w14:paraId="52C23A9E">
      <w:pPr>
        <w:pStyle w:val="2"/>
      </w:pPr>
      <w:bookmarkStart w:id="7" w:name="_Toc193446468"/>
      <w:r>
        <w:rPr>
          <w:rFonts w:hint="eastAsia"/>
        </w:rPr>
        <w:t>四、城市更新活动中的行政征收</w:t>
      </w:r>
      <w:bookmarkEnd w:id="7"/>
    </w:p>
    <w:p w14:paraId="57A6D11B">
      <w:pPr>
        <w:pStyle w:val="25"/>
        <w:ind w:firstLine="560" w:firstLineChars="200"/>
      </w:pPr>
      <w:r>
        <w:rPr>
          <w:rFonts w:hint="eastAsia"/>
        </w:rPr>
        <w:t>城市更新活动中，单一物权人与非单一物权人两者之间的程序性差异之一，是政府在特定条件下介入实施征收。</w:t>
      </w:r>
    </w:p>
    <w:p w14:paraId="53EAF038">
      <w:pPr>
        <w:pStyle w:val="25"/>
        <w:ind w:firstLine="560" w:firstLineChars="200"/>
      </w:pPr>
      <w:r>
        <w:t>1.</w:t>
      </w:r>
      <w:r>
        <w:rPr>
          <w:rFonts w:hint="eastAsia"/>
        </w:rPr>
        <w:t>《</w:t>
      </w:r>
      <w:r>
        <w:t>深圳经济特区城市更新条例</w:t>
      </w:r>
      <w:r>
        <w:rPr>
          <w:rFonts w:hint="eastAsia"/>
        </w:rPr>
        <w:t>》中规定，非单一物权人已</w:t>
      </w:r>
      <w:r>
        <w:t>签订搬迁补偿协议的专有部分面积占比或者物业权利人人数占比不低于百分之九十五时，市场主体与未签约业主经充分协商仍协商不成的，可以向项目所在地的区人民政府申请调解，区人民政府也可以召集有关当事人进行调解。</w:t>
      </w:r>
      <w:r>
        <w:rPr>
          <w:rFonts w:hint="eastAsia"/>
        </w:rPr>
        <w:t>其中，</w:t>
      </w:r>
      <w:r>
        <w:t>旧住宅区已签订搬迁补偿协议的专有部分面积和物业权利人人数占比均不低于百分之九十五，且经区人民政府调解未能达成一致的，为了维护和增进社会公共利益，推进城市规划的实施，区人民政府可以依照法律、行政法规及</w:t>
      </w:r>
      <w:r>
        <w:rPr>
          <w:rFonts w:hint="eastAsia"/>
        </w:rPr>
        <w:t>地方</w:t>
      </w:r>
      <w:r>
        <w:t>条例相关规定对未签约部分房屋实施征收。城中村合法住宅、住宅类历史违建部分，已签订搬迁补偿协议的物业权利人人数占比不低于百分之九十五的，可以参照</w:t>
      </w:r>
      <w:r>
        <w:rPr>
          <w:rFonts w:hint="eastAsia"/>
        </w:rPr>
        <w:t>前述</w:t>
      </w:r>
      <w:r>
        <w:t>规定由区人民政府对未签约住宅类房屋依法实施征收。</w:t>
      </w:r>
      <w:r>
        <w:rPr>
          <w:rFonts w:hint="eastAsia"/>
        </w:rPr>
        <w:t>区人民政府征收取得的物业权利，由相关部门按照有关规定与市场主体协商签订搬迁补偿协议。</w:t>
      </w:r>
    </w:p>
    <w:p w14:paraId="7A5BF7AA">
      <w:pPr>
        <w:pStyle w:val="25"/>
        <w:ind w:firstLine="560" w:firstLineChars="200"/>
      </w:pPr>
      <w:r>
        <w:rPr>
          <w:rFonts w:hint="eastAsia"/>
        </w:rPr>
        <w:t>2</w:t>
      </w:r>
      <w:r>
        <w:t>.</w:t>
      </w:r>
      <w:r>
        <w:rPr>
          <w:rFonts w:hint="eastAsia"/>
        </w:rPr>
        <w:t>《上海市城市更新条例》第三十一条，对城市更新过程中确需征收房屋的情形也作出了原则性规定。此外，对于公有旧住房，规定由公房产权单位与公房承租人签订更新协议（签约比例达到百分之九十五以上的，协议方可生效），确定合理的回搬或者补偿安置方案。公房承租人拒不配合拆除重建的，公房产权单位可以向区人民政府申请调解，调解不成的，区人民政府可以依法作出决定并依法申请人民法院强制执行。</w:t>
      </w:r>
    </w:p>
    <w:p w14:paraId="1FA6D57B">
      <w:pPr>
        <w:pStyle w:val="2"/>
      </w:pPr>
      <w:bookmarkStart w:id="8" w:name="_Toc193446469"/>
      <w:r>
        <w:rPr>
          <w:rFonts w:hint="eastAsia"/>
        </w:rPr>
        <w:t>五、城市更新实施主体</w:t>
      </w:r>
      <w:bookmarkEnd w:id="8"/>
    </w:p>
    <w:p w14:paraId="691678E7">
      <w:pPr>
        <w:pStyle w:val="25"/>
        <w:ind w:firstLine="560" w:firstLineChars="200"/>
      </w:pPr>
      <w:r>
        <w:rPr>
          <w:rFonts w:hint="eastAsia"/>
        </w:rPr>
        <w:t>城市更新活动的实施主体，在地方城市更新立法中均要求由政府部门确认，除物业权利人之外，市场主体也具备条件后成为城市更新实施主体，各地在具体的遴选程序和确认方式上有所差异，以深圳与上海为例，说明如下：</w:t>
      </w:r>
    </w:p>
    <w:p w14:paraId="7F9FE639">
      <w:pPr>
        <w:pStyle w:val="3"/>
        <w:ind w:firstLine="562"/>
      </w:pPr>
      <w:bookmarkStart w:id="9" w:name="_Toc193446470"/>
      <w:r>
        <w:rPr>
          <w:rFonts w:hint="eastAsia" w:ascii="Times New Roman" w:hAnsi="Times New Roman" w:cs="Times New Roman"/>
          <w:kern w:val="0"/>
        </w:rPr>
        <w:t>1.</w:t>
      </w:r>
      <w:r>
        <w:rPr>
          <w:rFonts w:hint="eastAsia"/>
        </w:rPr>
        <w:t>深圳城市更新实施主体</w:t>
      </w:r>
      <w:bookmarkEnd w:id="9"/>
    </w:p>
    <w:p w14:paraId="185928D9">
      <w:pPr>
        <w:pStyle w:val="25"/>
        <w:ind w:firstLine="480"/>
        <w:rPr>
          <w:color w:val="FF0000"/>
        </w:rPr>
      </w:pPr>
      <w:r>
        <w:rPr>
          <w:rFonts w:hint="eastAsia"/>
        </w:rPr>
        <w:t>深圳城市更新项目由区政府部门确认的实施主体实施。</w:t>
      </w:r>
      <w:r>
        <w:t>属于城中村拆除重建类城市更新项目的，除形成单一权利主体外，原农村集体经济组织继受单位可以与公开选择的单一市场主体合作实施城市更新，也可以自行实施。属于旧住宅区城市更新项目的，区人民政府应当组织制定搬迁补偿指导方案和公开选择市场主体方案，经专有部分面积占比百分之九十五以上且占总人数百分之九十五以上的物业权利人同意后，采用公开、公平、公正的方式选定市场主体，由选定的市场主体与全体物业权利人签订搬迁补偿协议。</w:t>
      </w:r>
      <w:r>
        <w:rPr>
          <w:rFonts w:hint="eastAsia"/>
        </w:rPr>
        <w:t>市场主体成为单一权利主体或者合作实施主体，是市场主体向区城市更新部门申请确认实施主体的前提。被选定的符合国家房地产开发企业资质要求的市场主体，应与</w:t>
      </w:r>
      <w:r>
        <w:t>城市更新规模、项目定位相适应，并具有良好的社会信誉</w:t>
      </w:r>
      <w:r>
        <w:rPr>
          <w:rFonts w:hint="eastAsia"/>
        </w:rPr>
        <w:t>。市场主体成为单一权利主体的方式包括签订搬迁补偿协议、房地产作价入股或者房地产收购等方式。</w:t>
      </w:r>
    </w:p>
    <w:p w14:paraId="75DCC985">
      <w:pPr>
        <w:pStyle w:val="3"/>
        <w:ind w:firstLine="562"/>
      </w:pPr>
      <w:bookmarkStart w:id="10" w:name="_Toc193446471"/>
      <w:r>
        <w:rPr>
          <w:rFonts w:hint="eastAsia"/>
        </w:rPr>
        <w:t>2</w:t>
      </w:r>
      <w:r>
        <w:t>.</w:t>
      </w:r>
      <w:r>
        <w:rPr>
          <w:rFonts w:hint="eastAsia"/>
        </w:rPr>
        <w:t>上海市“更新统筹主体”</w:t>
      </w:r>
      <w:bookmarkEnd w:id="10"/>
    </w:p>
    <w:p w14:paraId="773769B5">
      <w:pPr>
        <w:pStyle w:val="25"/>
        <w:ind w:firstLine="560" w:firstLineChars="200"/>
      </w:pPr>
      <w:r>
        <w:rPr>
          <w:rFonts w:hint="eastAsia"/>
        </w:rPr>
        <w:t>《上海市城市更新条例》创设了“更新统筹主体”，“更新区域内的城市更新活动，由更新统筹主体统筹开展，由更新区域内物业权利人实施的，应当在更新统筹主体的统筹组织下更新。”</w:t>
      </w:r>
      <w:r>
        <w:t>统筹主体的确定方式有公开遴选和指定两种。公开遴选统筹主体的，应当通过“公开招标”、“竞争性谈判”等方式开展</w:t>
      </w:r>
      <w:r>
        <w:rPr>
          <w:rFonts w:hint="eastAsia"/>
        </w:rPr>
        <w:t>，</w:t>
      </w:r>
      <w:r>
        <w:t>物业权利人和市场主体均可报名参加遴选。属于历史风貌保护、产业园区转型升级、市政交通设施整体提升等情形的，市、区人民政府可以指定统筹主体。更新统筹主体</w:t>
      </w:r>
      <w:r>
        <w:rPr>
          <w:rFonts w:hint="eastAsia"/>
        </w:rPr>
        <w:t>，</w:t>
      </w:r>
      <w:r>
        <w:t>针对</w:t>
      </w:r>
      <w:r>
        <w:rPr>
          <w:rFonts w:hint="eastAsia"/>
        </w:rPr>
        <w:t>的是</w:t>
      </w:r>
      <w:r>
        <w:t>区域更新</w:t>
      </w:r>
      <w:r>
        <w:rPr>
          <w:rFonts w:hint="eastAsia"/>
        </w:rPr>
        <w:t>活动</w:t>
      </w:r>
      <w:r>
        <w:t>，</w:t>
      </w:r>
      <w:r>
        <w:rPr>
          <w:rFonts w:hint="eastAsia"/>
        </w:rPr>
        <w:t>它</w:t>
      </w:r>
      <w:r>
        <w:t>承接政府授权，通过市场化运作，统筹平衡各方利益，推动更新区域内物业权利人达成统一的更新意愿，协调推进区域更新实施。</w:t>
      </w:r>
      <w:r>
        <w:rPr>
          <w:rFonts w:hint="eastAsia"/>
        </w:rPr>
        <w:t>上海城市更新还特别提及</w:t>
      </w:r>
      <w:r>
        <w:t>国有企业土地权利人应当带头承担国家、本市重点功能区开发任务，实施自主更新。</w:t>
      </w:r>
      <w:r>
        <w:rPr>
          <w:rFonts w:hint="eastAsia"/>
        </w:rPr>
        <w:t>零星更新项目物业权利人可以自行实施或者采用与市场主体合作方式。在更新区域内，不论是区域更新还是零星更新，均应由更新统筹主体“统筹组织”。与之对应的更新项目“实</w:t>
      </w:r>
      <w:r>
        <w:t>施主体</w:t>
      </w:r>
      <w:r>
        <w:rPr>
          <w:rFonts w:hint="eastAsia"/>
        </w:rPr>
        <w:t>”，它是</w:t>
      </w:r>
      <w:r>
        <w:t>城市更新项目的建设单位，可以是物业权利人、物业权利人和市场主体的联合体、物业权利人委托的市场主体、以协议方式取得房地产权益的市场主体等。区域更新中的实施主体也可以是统筹主体。</w:t>
      </w:r>
    </w:p>
    <w:p w14:paraId="58BC733B">
      <w:pPr>
        <w:pStyle w:val="25"/>
        <w:ind w:firstLine="560" w:firstLineChars="200"/>
      </w:pPr>
      <w:r>
        <w:rPr>
          <w:rFonts w:hint="eastAsia"/>
        </w:rPr>
        <w:t>《浙江省城镇社区建设更新条例（草案）》所规定的城镇社区建设更新，包括规划新建项目和更新项目。</w:t>
      </w:r>
      <w:r>
        <w:t>更新项目由县（市、区）人民政府依法确定更新实施主体</w:t>
      </w:r>
      <w:r>
        <w:rPr>
          <w:rFonts w:hint="eastAsia"/>
        </w:rPr>
        <w:t>，目前尚未有更新实施主体遴选机制或者资格确认程序的具体规定</w:t>
      </w:r>
      <w:r>
        <w:t>。</w:t>
      </w:r>
    </w:p>
    <w:p w14:paraId="1F80D9AF">
      <w:pPr>
        <w:pStyle w:val="25"/>
        <w:ind w:firstLine="560" w:firstLineChars="200"/>
      </w:pPr>
      <w:r>
        <w:rPr>
          <w:rFonts w:hint="eastAsia"/>
        </w:rPr>
        <w:t>以上不同地区的城市更新模式，均以不同程度和方式为房地产行业的市场主体预留了参与实施城市更新的通道。</w:t>
      </w:r>
    </w:p>
    <w:p w14:paraId="27F5C29C">
      <w:pPr>
        <w:pStyle w:val="2"/>
      </w:pPr>
      <w:bookmarkStart w:id="11" w:name="_Toc193446472"/>
      <w:r>
        <w:rPr>
          <w:rFonts w:hint="eastAsia"/>
        </w:rPr>
        <w:t>六、城市更新活动中的规划引领</w:t>
      </w:r>
      <w:bookmarkEnd w:id="11"/>
    </w:p>
    <w:p w14:paraId="403A1463">
      <w:pPr>
        <w:pStyle w:val="25"/>
        <w:ind w:firstLine="560" w:firstLineChars="200"/>
      </w:pPr>
      <w:r>
        <w:rPr>
          <w:rFonts w:hint="eastAsia"/>
        </w:rPr>
        <w:t>我国城市更新活动，循自上而下之路径，政府居主导方，国土空间规划则为“领航员”角色。城市更新活动应当符合国土空间规划和用途管制要求。</w:t>
      </w:r>
    </w:p>
    <w:p w14:paraId="4682200F">
      <w:pPr>
        <w:pStyle w:val="25"/>
        <w:ind w:firstLine="560" w:firstLineChars="200"/>
      </w:pPr>
      <w:r>
        <w:t>国土空间规划，是对一定区域国土空间开发保护在空间和时间上作出的安排，是各类开发、保护、建设活动的基本依据</w:t>
      </w:r>
      <w:r>
        <w:rPr>
          <w:rFonts w:hint="eastAsia"/>
        </w:rPr>
        <w:t>，</w:t>
      </w:r>
      <w:r>
        <w:t>包括总体规划</w:t>
      </w:r>
      <w:r>
        <w:rPr>
          <w:rStyle w:val="22"/>
        </w:rPr>
        <w:footnoteReference w:id="0"/>
      </w:r>
      <w:r>
        <w:t>、详细规划</w:t>
      </w:r>
      <w:r>
        <w:rPr>
          <w:rStyle w:val="22"/>
        </w:rPr>
        <w:footnoteReference w:id="1"/>
      </w:r>
      <w:r>
        <w:t>和专项规划</w:t>
      </w:r>
      <w:r>
        <w:rPr>
          <w:rStyle w:val="22"/>
        </w:rPr>
        <w:footnoteReference w:id="2"/>
      </w:r>
      <w:r>
        <w:rPr>
          <w:rFonts w:hint="eastAsia"/>
        </w:rPr>
        <w:t>。其中，专项规划实现清单管理，县级以上人民政府可以根据需要将城市更新列入专项规划清单或者决定编制城市更新专项规划，例如2</w:t>
      </w:r>
      <w:r>
        <w:t>025</w:t>
      </w:r>
      <w:r>
        <w:rPr>
          <w:rFonts w:hint="eastAsia"/>
        </w:rPr>
        <w:t>年3月7日，杭州市人民政府批复原则同意《杭州市城市更新专项规划（2</w:t>
      </w:r>
      <w:r>
        <w:t>024-2035</w:t>
      </w:r>
      <w:r>
        <w:rPr>
          <w:rFonts w:hint="eastAsia"/>
        </w:rPr>
        <w:t>年）》。</w:t>
      </w:r>
      <w:r>
        <w:t>经依法批准的国土空间总体规划是国土空间详细规划和专项规划编制、修改的依据，国土空间详细规划和专项规划应当服从总体规划。国土空间专项规划的主要内容应当纳入国土空间详细规划。</w:t>
      </w:r>
    </w:p>
    <w:p w14:paraId="1CC73000">
      <w:pPr>
        <w:pStyle w:val="25"/>
        <w:ind w:firstLine="560" w:firstLineChars="200"/>
      </w:pPr>
      <w:r>
        <w:rPr>
          <w:rFonts w:hint="eastAsia"/>
        </w:rPr>
        <w:t>城市更新专项规划的落脚点在于城市更新单元</w:t>
      </w:r>
      <w:r>
        <w:rPr>
          <w:rStyle w:val="22"/>
        </w:rPr>
        <w:footnoteReference w:id="3"/>
      </w:r>
      <w:r>
        <w:rPr>
          <w:rFonts w:hint="eastAsia"/>
        </w:rPr>
        <w:t>规划实施方案</w:t>
      </w:r>
      <w:r>
        <w:rPr>
          <w:rStyle w:val="22"/>
        </w:rPr>
        <w:footnoteReference w:id="4"/>
      </w:r>
      <w:r>
        <w:rPr>
          <w:rFonts w:hint="eastAsia"/>
        </w:rPr>
        <w:t>。</w:t>
      </w:r>
      <w:r>
        <w:t>城市更新单元规划实施方案应明确更新单元的规划概念方案和空间规划关键条件、项目实施方案设想、经济评估分析等内容。方案成果报经政府规资部门批复同意后，实施主体</w:t>
      </w:r>
      <w:r>
        <w:rPr>
          <w:rFonts w:hint="eastAsia"/>
        </w:rPr>
        <w:t>组织建筑设计据此</w:t>
      </w:r>
      <w:r>
        <w:t>制定城市更新项目建筑设计方案。涉及控详规划优化完善的，规资部门依据城市更新单元规划实施方案及城市更新项目建筑设计方案，同步开展控详规划优化</w:t>
      </w:r>
      <w:r>
        <w:rPr>
          <w:rFonts w:hint="eastAsia"/>
        </w:rPr>
        <w:t>，并</w:t>
      </w:r>
      <w:r>
        <w:t>按规定履行公示、意见征询等相关法定程序</w:t>
      </w:r>
      <w:r>
        <w:rPr>
          <w:rFonts w:hint="eastAsia"/>
        </w:rPr>
        <w:t>。</w:t>
      </w:r>
      <w:r>
        <w:t>建设工程设计方案具备相应条件的，其公示、意见征询等相关工作，可与控详规划优化同步开展。因建设工程设计方案深化，确需调整控制性详细规划确定的规划条件的，组织专题论证</w:t>
      </w:r>
      <w:r>
        <w:rPr>
          <w:rFonts w:hint="eastAsia"/>
        </w:rPr>
        <w:t>，</w:t>
      </w:r>
      <w:r>
        <w:t>论证通过后，由规资部门按照规划实施深化程序开展控详规划图则更新管理。涉及重大调整的，应重新履行相应程序。</w:t>
      </w:r>
      <w:r>
        <w:rPr>
          <w:rFonts w:hint="eastAsia"/>
        </w:rPr>
        <w:t>例如，更新项目</w:t>
      </w:r>
      <w:r>
        <w:t>确需调整用地性质、容积率、建筑高度等指标的，由</w:t>
      </w:r>
      <w:r>
        <w:rPr>
          <w:rFonts w:hint="eastAsia"/>
        </w:rPr>
        <w:t>规资部</w:t>
      </w:r>
      <w:r>
        <w:t>门集中修改</w:t>
      </w:r>
      <w:r>
        <w:rPr>
          <w:rFonts w:hint="eastAsia"/>
        </w:rPr>
        <w:t>控</w:t>
      </w:r>
      <w:r>
        <w:t>详规划</w:t>
      </w:r>
      <w:r>
        <w:rPr>
          <w:rFonts w:hint="eastAsia"/>
        </w:rPr>
        <w:t>，</w:t>
      </w:r>
      <w:r>
        <w:t>涉及总规确定的强制性内容、约束性指标调整的，应当按照程序先修改总规</w:t>
      </w:r>
      <w:r>
        <w:rPr>
          <w:rFonts w:hint="eastAsia"/>
        </w:rPr>
        <w:t>。</w:t>
      </w:r>
    </w:p>
    <w:p w14:paraId="46EAFDFC">
      <w:pPr>
        <w:pStyle w:val="25"/>
        <w:ind w:firstLine="560" w:firstLineChars="200"/>
      </w:pPr>
      <w:r>
        <w:t>容积率奖励是政府推动城市更新</w:t>
      </w:r>
      <w:r>
        <w:rPr>
          <w:rFonts w:hint="eastAsia"/>
        </w:rPr>
        <w:t>活动</w:t>
      </w:r>
      <w:r>
        <w:t>所采用的最重要的激励手段。</w:t>
      </w:r>
      <w:r>
        <w:rPr>
          <w:rFonts w:hint="eastAsia"/>
        </w:rPr>
        <w:t>例如，</w:t>
      </w:r>
      <w:r>
        <w:t>杭政办〔2023〕4号</w:t>
      </w:r>
      <w:r>
        <w:rPr>
          <w:rFonts w:hint="eastAsia"/>
        </w:rPr>
        <w:t>《</w:t>
      </w:r>
      <w:r>
        <w:t>杭州市人民政府办公厅关于全面推进城市更新的实施意见</w:t>
      </w:r>
      <w:r>
        <w:rPr>
          <w:rFonts w:hint="eastAsia"/>
        </w:rPr>
        <w:t>》在规划方面规定“</w:t>
      </w:r>
      <w:r>
        <w:t>积极探索有利于补充公共服务设施、基础设施、公共安全设施的容积率奖励与转移等政策；对于符合规划要求</w:t>
      </w:r>
      <w:r>
        <w:rPr>
          <w:rFonts w:hint="eastAsia"/>
        </w:rPr>
        <w:t>，</w:t>
      </w:r>
      <w:r>
        <w:t>保障居民基本生活、补齐城市短板的城市更新项目</w:t>
      </w:r>
      <w:r>
        <w:rPr>
          <w:rFonts w:hint="eastAsia"/>
        </w:rPr>
        <w:t>，</w:t>
      </w:r>
      <w:r>
        <w:t>可根据实际需要</w:t>
      </w:r>
      <w:r>
        <w:rPr>
          <w:rFonts w:hint="eastAsia"/>
        </w:rPr>
        <w:t>，</w:t>
      </w:r>
      <w:r>
        <w:t>按有关规定适当增加建筑规模；对于符合公共利益需要的</w:t>
      </w:r>
      <w:r>
        <w:rPr>
          <w:rFonts w:hint="eastAsia"/>
        </w:rPr>
        <w:t>，</w:t>
      </w:r>
      <w:r>
        <w:t>可按程序调整用地性质和用途</w:t>
      </w:r>
      <w:r>
        <w:rPr>
          <w:rFonts w:hint="eastAsia"/>
        </w:rPr>
        <w:t>；</w:t>
      </w:r>
      <w:r>
        <w:t>对危房实施翻改建的</w:t>
      </w:r>
      <w:r>
        <w:rPr>
          <w:rFonts w:hint="eastAsia"/>
        </w:rPr>
        <w:t>，</w:t>
      </w:r>
      <w:r>
        <w:t>为满足居民生活刚性需求</w:t>
      </w:r>
      <w:r>
        <w:rPr>
          <w:rFonts w:hint="eastAsia"/>
        </w:rPr>
        <w:t>，</w:t>
      </w:r>
      <w:r>
        <w:t>可结合房屋实际情况</w:t>
      </w:r>
      <w:r>
        <w:rPr>
          <w:rFonts w:hint="eastAsia"/>
        </w:rPr>
        <w:t>，</w:t>
      </w:r>
      <w:r>
        <w:t>按规定适当增加套内建筑面积；对于文化传承及特色风貌塑造类、居住区综合改善类、产业区聚能增效类等用地条件有限的城市更新项目</w:t>
      </w:r>
      <w:r>
        <w:rPr>
          <w:rFonts w:hint="eastAsia"/>
        </w:rPr>
        <w:t>，</w:t>
      </w:r>
      <w:r>
        <w:t>间距、日照、退界、交通、市政配套、绿地率、建筑密度等指标要求</w:t>
      </w:r>
      <w:r>
        <w:rPr>
          <w:rFonts w:hint="eastAsia"/>
        </w:rPr>
        <w:t>，</w:t>
      </w:r>
      <w:r>
        <w:t>可按不低于现状水平进行控制。</w:t>
      </w:r>
      <w:r>
        <w:rPr>
          <w:rFonts w:hint="eastAsia"/>
        </w:rPr>
        <w:t>”再如，</w:t>
      </w:r>
      <w:r>
        <w:t>杭规划资源发〔2024〕49号《关于优化建设项目容积率及相关指标计算规则的通知》</w:t>
      </w:r>
      <w:r>
        <w:rPr>
          <w:rFonts w:hint="eastAsia"/>
        </w:rPr>
        <w:t>规定城</w:t>
      </w:r>
      <w:r>
        <w:t>市更新项目配建的公共服务设施可不纳入容积率计算。对于在满足自身配建要求的基础上，按规划要求配置的公共服务配套设施，其设置位置应对外开放且具备便捷的公共可达条件，给予不超过建成后无偿移交相关部门管理部分3倍的建筑面积作为奖励。符合奖励条件的建筑面积，不纳入详细规划和规划条件约定的容积率计算</w:t>
      </w:r>
      <w:r>
        <w:rPr>
          <w:rFonts w:hint="eastAsia"/>
        </w:rPr>
        <w:t>，</w:t>
      </w:r>
      <w:r>
        <w:t>不补缴土地出让金</w:t>
      </w:r>
      <w:r>
        <w:rPr>
          <w:rFonts w:hint="eastAsia"/>
        </w:rPr>
        <w:t>，并</w:t>
      </w:r>
      <w:r>
        <w:t>可根据建筑面积依法进行确权登记。</w:t>
      </w:r>
    </w:p>
    <w:p w14:paraId="2DCFA5DD">
      <w:pPr>
        <w:pStyle w:val="25"/>
        <w:ind w:firstLine="560" w:firstLineChars="200"/>
      </w:pPr>
      <w:r>
        <w:t>对于政府而言，完善城市基础设施和公共设施是政府推进城市更新最基本的要求，根据对城市公共环境和基础设施方面的贡献程度确定容积率奖励的量</w:t>
      </w:r>
      <w:r>
        <w:rPr>
          <w:rFonts w:hint="eastAsia"/>
        </w:rPr>
        <w:t>，兼顾了城市</w:t>
      </w:r>
      <w:r>
        <w:t>更新</w:t>
      </w:r>
      <w:r>
        <w:rPr>
          <w:rFonts w:hint="eastAsia"/>
        </w:rPr>
        <w:t>中的</w:t>
      </w:r>
      <w:r>
        <w:t>城市公共性内容提升和商业性质开发两方面内容。</w:t>
      </w:r>
      <w:r>
        <w:rPr>
          <w:rFonts w:hint="eastAsia"/>
        </w:rPr>
        <w:t>我国城市更新立法和城市设计技术标准尚处于探索与完善过程，包括容积率奖励在内的城市更新激励政策应尽快从政策手段上升到立法规范与制度化层面，这能促使市场主体</w:t>
      </w:r>
      <w:r>
        <w:t>在研究项目可行性时能够一定程度上预测到可能获得的容积率奖励</w:t>
      </w:r>
      <w:r>
        <w:rPr>
          <w:rFonts w:hint="eastAsia"/>
        </w:rPr>
        <w:t>和城市更新激励</w:t>
      </w:r>
      <w:r>
        <w:t>，从而做出更有可行性的开发项目计划。</w:t>
      </w:r>
    </w:p>
    <w:p w14:paraId="082DFBF0">
      <w:pPr>
        <w:pStyle w:val="2"/>
        <w:rPr>
          <w:rFonts w:hint="eastAsia"/>
        </w:rPr>
      </w:pPr>
      <w:bookmarkStart w:id="12" w:name="_Toc193446473"/>
      <w:r>
        <w:rPr>
          <w:rFonts w:hint="eastAsia"/>
        </w:rPr>
        <w:t>七、</w:t>
      </w:r>
      <w:r>
        <w:t>城市更新与低效用地再开发</w:t>
      </w:r>
      <w:bookmarkEnd w:id="12"/>
    </w:p>
    <w:p w14:paraId="7D2F70D8">
      <w:pPr>
        <w:pStyle w:val="25"/>
        <w:ind w:firstLine="560" w:firstLineChars="200"/>
      </w:pPr>
      <w:r>
        <w:rPr>
          <w:rFonts w:hint="eastAsia"/>
        </w:rPr>
        <w:t>对于已</w:t>
      </w:r>
      <w:r>
        <w:t>纳入城镇低效用地再开发范围</w:t>
      </w:r>
      <w:r>
        <w:rPr>
          <w:rFonts w:hint="eastAsia"/>
        </w:rPr>
        <w:t>并</w:t>
      </w:r>
      <w:r>
        <w:t>符合</w:t>
      </w:r>
      <w:r>
        <w:rPr>
          <w:rFonts w:hint="eastAsia"/>
        </w:rPr>
        <w:t>规定</w:t>
      </w:r>
      <w:r>
        <w:t>条件的国有建设用地，</w:t>
      </w:r>
      <w:r>
        <w:rPr>
          <w:rFonts w:hint="eastAsia"/>
        </w:rPr>
        <w:t>政策支持探索自主改造、国资改造、政企合作、企企合作及连片开发、统租统招等方式，推进低效用地再开发。</w:t>
      </w:r>
    </w:p>
    <w:p w14:paraId="036BFFA7">
      <w:pPr>
        <w:pStyle w:val="25"/>
        <w:ind w:firstLine="560" w:firstLineChars="200"/>
      </w:pPr>
      <w:r>
        <w:t>《浙江省国土空间规划条例》第四十九条</w:t>
      </w:r>
      <w:r>
        <w:rPr>
          <w:rFonts w:hint="eastAsia"/>
        </w:rPr>
        <w:t>规定，土</w:t>
      </w:r>
      <w:r>
        <w:t>地使用权人可以向设区的市、县（市）自然资源主管部门申请变更土地开发强度或者变更用地性质</w:t>
      </w:r>
      <w:r>
        <w:rPr>
          <w:rFonts w:hint="eastAsia"/>
        </w:rPr>
        <w:t>（</w:t>
      </w:r>
      <w:r>
        <w:t>但不得申请将其他性质的建设用地变更为经营性房地产用地</w:t>
      </w:r>
      <w:r>
        <w:rPr>
          <w:rFonts w:hint="eastAsia"/>
        </w:rPr>
        <w:t>）</w:t>
      </w:r>
      <w:r>
        <w:t>。设区的市、县（市）自然资源主管部门应当根据该地块详细规划和土地使用权人的变更要求，重新核定规划条件，在征求相关主管部门的建设要求后，编制变更方案报本级人民政府批准，并将重新核定的规划条件纳入国有建设用地使用权出让合同变更协议。土地使用权人应当根据核定的规划条件，重新取得规划许可，并依法补缴土地使用权出让金。</w:t>
      </w:r>
    </w:p>
    <w:p w14:paraId="7BCC18B1">
      <w:pPr>
        <w:pStyle w:val="25"/>
        <w:ind w:firstLine="560" w:firstLineChars="200"/>
      </w:pPr>
      <w:r>
        <w:rPr>
          <w:rFonts w:hint="eastAsia"/>
        </w:rPr>
        <w:t>对于低效工业用地，《杭州市推进低效用地再开发试点工作实施方案》鼓励工业园（片）区的工业用地提高开发强度、增加建筑容量、开发地下空间，不增收土地价款。经政府报批同意后，增容部分建筑面积的4</w:t>
      </w:r>
      <w:r>
        <w:t>5%</w:t>
      </w:r>
      <w:r>
        <w:rPr>
          <w:rFonts w:hint="eastAsia"/>
        </w:rPr>
        <w:t>，可按每幢（单元）不小于3</w:t>
      </w:r>
      <w:r>
        <w:t>000</w:t>
      </w:r>
      <w:r>
        <w:rPr>
          <w:rFonts w:hint="eastAsia"/>
        </w:rPr>
        <w:t>平方米或每层不小于1</w:t>
      </w:r>
      <w:r>
        <w:t>000</w:t>
      </w:r>
      <w:r>
        <w:rPr>
          <w:rFonts w:hint="eastAsia"/>
        </w:rPr>
        <w:t>平方米分割转让。对于存量商服用地（包括综合、科研等用地），在符合规划前提下，可实施改扩建，重新核定规划条件，重新约定土地使用条件，增加地上建筑面积的，按新旧评估价差的一定比例补缴土地价款，项目建成后除自持比例外可按商业商务用地最小分割单元政策规定进行分割转让。</w:t>
      </w:r>
    </w:p>
    <w:p w14:paraId="08F14C08">
      <w:pPr>
        <w:pStyle w:val="25"/>
        <w:ind w:firstLine="560" w:firstLineChars="200"/>
      </w:pPr>
      <w:r>
        <w:rPr>
          <w:rFonts w:hint="eastAsia"/>
        </w:rPr>
        <w:t>城市化进入存量时代后，随着政府在存量土地综合绩效评估、低效建设用地精准识别、退出补偿机制等政策法规方面的逐步完善，土地低效用地转型再开发，将是城市更新的经济重构价值的重要体现。</w:t>
      </w:r>
    </w:p>
    <w:p w14:paraId="7181CD47">
      <w:pPr>
        <w:pStyle w:val="2"/>
      </w:pPr>
      <w:bookmarkStart w:id="13" w:name="_Toc193446474"/>
      <w:r>
        <w:rPr>
          <w:rFonts w:hint="eastAsia"/>
        </w:rPr>
        <w:t>八、后记</w:t>
      </w:r>
      <w:bookmarkEnd w:id="13"/>
    </w:p>
    <w:p w14:paraId="581E353A">
      <w:pPr>
        <w:pStyle w:val="25"/>
        <w:ind w:firstLine="560" w:firstLineChars="200"/>
      </w:pPr>
      <w:r>
        <w:rPr>
          <w:rFonts w:hint="eastAsia"/>
        </w:rPr>
        <w:t>我国过往3</w:t>
      </w:r>
      <w:r>
        <w:t>0</w:t>
      </w:r>
      <w:r>
        <w:rPr>
          <w:rFonts w:hint="eastAsia"/>
        </w:rPr>
        <w:t>年的城市化，其过程迅猛，从无到有，从小到大，城市化成效显著。借鉴日本、欧美等域外城市演化更新的过程，我们有理由相信城市更新将是第二次城市化的开始。城</w:t>
      </w:r>
      <w:r>
        <w:t>市</w:t>
      </w:r>
      <w:r>
        <w:rPr>
          <w:rFonts w:hint="eastAsia"/>
        </w:rPr>
        <w:t>更</w:t>
      </w:r>
      <w:r>
        <w:t>新已超越物质空间改造层面，正演变为推动城市治理现代化、实现可持续发展的战略性工具。其未来走向将更加注重全生命周期管理、文化基因传承与低碳技术集成，在存量时代重构城市竞争力。</w:t>
      </w:r>
    </w:p>
    <w:sectPr>
      <w:footerReference r:id="rId12" w:type="default"/>
      <w:pgSz w:w="11900" w:h="16840"/>
      <w:pgMar w:top="1440" w:right="1800" w:bottom="1440" w:left="1800"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正文 CS 字体)">
    <w:altName w:val="宋体"/>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2E4C2">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712192940"/>
      <w:docPartObj>
        <w:docPartGallery w:val="autotext"/>
      </w:docPartObj>
    </w:sdtPr>
    <w:sdtEndPr>
      <w:rPr>
        <w:rStyle w:val="20"/>
      </w:rPr>
    </w:sdtEndPr>
    <w:sdtContent>
      <w:p w14:paraId="13315E5B">
        <w:pPr>
          <w:pStyle w:val="8"/>
          <w:framePr w:wrap="auto" w:vAnchor="text" w:hAnchor="margin" w:xAlign="right" w:y="1"/>
          <w:ind w:firstLine="360"/>
          <w:rPr>
            <w:rStyle w:val="20"/>
          </w:rPr>
        </w:pPr>
        <w:r>
          <w:rPr>
            <w:rStyle w:val="20"/>
          </w:rPr>
          <w:fldChar w:fldCharType="begin"/>
        </w:r>
        <w:r>
          <w:rPr>
            <w:rStyle w:val="20"/>
          </w:rPr>
          <w:instrText xml:space="preserve"> PAGE </w:instrText>
        </w:r>
        <w:r>
          <w:rPr>
            <w:rStyle w:val="20"/>
          </w:rPr>
          <w:fldChar w:fldCharType="end"/>
        </w:r>
      </w:p>
    </w:sdtContent>
  </w:sdt>
  <w:p w14:paraId="0EC3857A">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790A0">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9814E">
    <w:pPr>
      <w:pStyle w:val="8"/>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2134394114"/>
      <w:docPartObj>
        <w:docPartGallery w:val="autotext"/>
      </w:docPartObj>
    </w:sdtPr>
    <w:sdtEndPr>
      <w:rPr>
        <w:rStyle w:val="20"/>
      </w:rPr>
    </w:sdtEndPr>
    <w:sdtContent>
      <w:p w14:paraId="3FBFD265">
        <w:pPr>
          <w:pStyle w:val="8"/>
          <w:framePr w:wrap="auto" w:vAnchor="text" w:hAnchor="margin" w:xAlign="right" w:y="1"/>
          <w:ind w:firstLine="360"/>
          <w:rPr>
            <w:rStyle w:val="20"/>
          </w:rPr>
        </w:pPr>
        <w:r>
          <w:rPr>
            <w:rStyle w:val="20"/>
          </w:rPr>
          <w:fldChar w:fldCharType="begin"/>
        </w:r>
        <w:r>
          <w:rPr>
            <w:rStyle w:val="20"/>
          </w:rPr>
          <w:instrText xml:space="preserve"> PAGE </w:instrText>
        </w:r>
        <w:r>
          <w:rPr>
            <w:rStyle w:val="20"/>
          </w:rPr>
          <w:fldChar w:fldCharType="separate"/>
        </w:r>
        <w:r>
          <w:rPr>
            <w:rStyle w:val="20"/>
          </w:rPr>
          <w:t>- 1 -</w:t>
        </w:r>
        <w:r>
          <w:rPr>
            <w:rStyle w:val="20"/>
          </w:rPr>
          <w:fldChar w:fldCharType="end"/>
        </w:r>
      </w:p>
    </w:sdtContent>
  </w:sdt>
  <w:p w14:paraId="707151D1">
    <w:pPr>
      <w:pStyle w:val="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line="360" w:lineRule="auto"/>
        <w:ind w:firstLine="560"/>
      </w:pPr>
      <w:r>
        <w:separator/>
      </w:r>
    </w:p>
  </w:footnote>
  <w:footnote w:type="continuationSeparator" w:id="11">
    <w:p>
      <w:pPr>
        <w:spacing w:line="360" w:lineRule="auto"/>
        <w:ind w:firstLine="560"/>
      </w:pPr>
      <w:r>
        <w:continuationSeparator/>
      </w:r>
    </w:p>
  </w:footnote>
  <w:footnote w:id="0">
    <w:p w14:paraId="26B9C3F7">
      <w:pPr>
        <w:pStyle w:val="13"/>
        <w:ind w:firstLine="360"/>
      </w:pPr>
      <w:r>
        <w:rPr>
          <w:rStyle w:val="22"/>
        </w:rPr>
        <w:footnoteRef/>
      </w:r>
      <w:r>
        <w:t xml:space="preserve"> 国土空间总体规划是国土空间保护、开发、利用、修复的总体部署和统筹安排，是用地用海审批的依据</w:t>
      </w:r>
      <w:r>
        <w:rPr>
          <w:rFonts w:hint="eastAsia"/>
        </w:rPr>
        <w:t>。</w:t>
      </w:r>
    </w:p>
  </w:footnote>
  <w:footnote w:id="1">
    <w:p w14:paraId="63DFD0A4">
      <w:pPr>
        <w:pStyle w:val="13"/>
        <w:ind w:firstLine="360"/>
      </w:pPr>
      <w:r>
        <w:rPr>
          <w:rStyle w:val="22"/>
        </w:rPr>
        <w:footnoteRef/>
      </w:r>
      <w:r>
        <w:t xml:space="preserve"> 国土空间详细规划是对单元地块用途、保护力度、开发强度和管控要求等作出的实施性安排，是依法核发建设项目规划许可、进行各项建设等活动的依据</w:t>
      </w:r>
      <w:r>
        <w:rPr>
          <w:rFonts w:hint="eastAsia"/>
        </w:rPr>
        <w:t>。</w:t>
      </w:r>
    </w:p>
  </w:footnote>
  <w:footnote w:id="2">
    <w:p w14:paraId="1A2294EF">
      <w:pPr>
        <w:pStyle w:val="13"/>
        <w:ind w:firstLine="360"/>
      </w:pPr>
      <w:r>
        <w:rPr>
          <w:rStyle w:val="22"/>
        </w:rPr>
        <w:footnoteRef/>
      </w:r>
      <w:r>
        <w:t xml:space="preserve"> 国土空间专项规划是针对特定领域或者特定区域（流域），为体现特定功能，对落实相关领域建设项目以及特定区域（流域）保护、开发、利用、修复作出的专门安排</w:t>
      </w:r>
      <w:r>
        <w:rPr>
          <w:rFonts w:hint="eastAsia"/>
        </w:rPr>
        <w:t>。</w:t>
      </w:r>
    </w:p>
  </w:footnote>
  <w:footnote w:id="3">
    <w:p w14:paraId="18467263">
      <w:pPr>
        <w:pStyle w:val="13"/>
        <w:ind w:firstLine="360"/>
      </w:pPr>
      <w:r>
        <w:rPr>
          <w:rStyle w:val="22"/>
        </w:rPr>
        <w:footnoteRef/>
      </w:r>
      <w:r>
        <w:t xml:space="preserve"> </w:t>
      </w:r>
      <w:r>
        <w:rPr>
          <w:rFonts w:hint="eastAsia"/>
        </w:rPr>
        <w:t>上海市城市更新中所称的</w:t>
      </w:r>
      <w:r>
        <w:t>城市更新单元</w:t>
      </w:r>
      <w:r>
        <w:rPr>
          <w:rFonts w:hint="eastAsia"/>
        </w:rPr>
        <w:t>，</w:t>
      </w:r>
      <w:r>
        <w:t>是针对更新条例中的区域更新，以及目前推进的“两旧一村”等重点更新任务，落实城市更新高质量发展模式要求，根据国土空间规划和资源统筹需要，划定的更新统筹范围。符合零星更新适用条件的，可以按照相关规定执行。</w:t>
      </w:r>
    </w:p>
  </w:footnote>
  <w:footnote w:id="4">
    <w:p w14:paraId="1B646988">
      <w:pPr>
        <w:pStyle w:val="13"/>
        <w:ind w:firstLine="360"/>
      </w:pPr>
      <w:r>
        <w:rPr>
          <w:rStyle w:val="22"/>
        </w:rPr>
        <w:footnoteRef/>
      </w:r>
      <w:r>
        <w:t xml:space="preserve"> </w:t>
      </w:r>
      <w:r>
        <w:rPr>
          <w:rFonts w:hint="eastAsia"/>
        </w:rPr>
        <w:t>上海市</w:t>
      </w:r>
      <w:r>
        <w:t>城市更新单元规划实施方案以更新单元为范围，由区规划资源部门会同城市更新综合体(或城市更新平台)组织责任规划师编制，明确更新单元的规划条件、城市设计引导要求、资源配置方式建 议等内容。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7EFAA">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DF415">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D54FC">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footnotePr>
    <w:footnote w:id="10"/>
    <w:footnote w:id="1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830"/>
    <w:rsid w:val="00007450"/>
    <w:rsid w:val="00007869"/>
    <w:rsid w:val="0001463B"/>
    <w:rsid w:val="00025123"/>
    <w:rsid w:val="00033565"/>
    <w:rsid w:val="00033932"/>
    <w:rsid w:val="0003464C"/>
    <w:rsid w:val="00037C01"/>
    <w:rsid w:val="00043DF8"/>
    <w:rsid w:val="00046C77"/>
    <w:rsid w:val="00055814"/>
    <w:rsid w:val="0006268E"/>
    <w:rsid w:val="00066F67"/>
    <w:rsid w:val="00067CA0"/>
    <w:rsid w:val="00077F87"/>
    <w:rsid w:val="00082F3C"/>
    <w:rsid w:val="000948EF"/>
    <w:rsid w:val="000979C3"/>
    <w:rsid w:val="000A05E7"/>
    <w:rsid w:val="000A1142"/>
    <w:rsid w:val="000A465A"/>
    <w:rsid w:val="000A68EA"/>
    <w:rsid w:val="000C70CD"/>
    <w:rsid w:val="000D1961"/>
    <w:rsid w:val="000E6014"/>
    <w:rsid w:val="000F39D6"/>
    <w:rsid w:val="000F3FC3"/>
    <w:rsid w:val="001240B0"/>
    <w:rsid w:val="00125105"/>
    <w:rsid w:val="00130FAA"/>
    <w:rsid w:val="00153667"/>
    <w:rsid w:val="00155319"/>
    <w:rsid w:val="0015679D"/>
    <w:rsid w:val="00174F04"/>
    <w:rsid w:val="001770D6"/>
    <w:rsid w:val="00180D3A"/>
    <w:rsid w:val="00185DBE"/>
    <w:rsid w:val="00193CCB"/>
    <w:rsid w:val="001A533D"/>
    <w:rsid w:val="001A7A07"/>
    <w:rsid w:val="001C256D"/>
    <w:rsid w:val="001C7B41"/>
    <w:rsid w:val="001D4AD1"/>
    <w:rsid w:val="001D5DC6"/>
    <w:rsid w:val="0020245B"/>
    <w:rsid w:val="002057F8"/>
    <w:rsid w:val="002076FD"/>
    <w:rsid w:val="00211A70"/>
    <w:rsid w:val="002329E8"/>
    <w:rsid w:val="002340D9"/>
    <w:rsid w:val="00242957"/>
    <w:rsid w:val="002434C2"/>
    <w:rsid w:val="00247FB3"/>
    <w:rsid w:val="00251C05"/>
    <w:rsid w:val="0025686D"/>
    <w:rsid w:val="00262799"/>
    <w:rsid w:val="002642E2"/>
    <w:rsid w:val="00267CEB"/>
    <w:rsid w:val="00270D06"/>
    <w:rsid w:val="00284DF7"/>
    <w:rsid w:val="0029475B"/>
    <w:rsid w:val="002B231F"/>
    <w:rsid w:val="002B28E1"/>
    <w:rsid w:val="002C1B8C"/>
    <w:rsid w:val="002C5E1C"/>
    <w:rsid w:val="002D0143"/>
    <w:rsid w:val="002D10C2"/>
    <w:rsid w:val="002F11B2"/>
    <w:rsid w:val="002F4FC9"/>
    <w:rsid w:val="002F63A1"/>
    <w:rsid w:val="0032031C"/>
    <w:rsid w:val="00322918"/>
    <w:rsid w:val="00327C62"/>
    <w:rsid w:val="00334701"/>
    <w:rsid w:val="003405C4"/>
    <w:rsid w:val="0034267D"/>
    <w:rsid w:val="00347CE5"/>
    <w:rsid w:val="00347D1A"/>
    <w:rsid w:val="0035440B"/>
    <w:rsid w:val="0036169E"/>
    <w:rsid w:val="00365496"/>
    <w:rsid w:val="003720BD"/>
    <w:rsid w:val="00384798"/>
    <w:rsid w:val="003855C6"/>
    <w:rsid w:val="00390B6C"/>
    <w:rsid w:val="00393479"/>
    <w:rsid w:val="00395681"/>
    <w:rsid w:val="003B4FC9"/>
    <w:rsid w:val="003B6A69"/>
    <w:rsid w:val="003D02AC"/>
    <w:rsid w:val="003E5231"/>
    <w:rsid w:val="003F20EB"/>
    <w:rsid w:val="003F760E"/>
    <w:rsid w:val="00410C6F"/>
    <w:rsid w:val="00412F37"/>
    <w:rsid w:val="004158BF"/>
    <w:rsid w:val="00447330"/>
    <w:rsid w:val="00452D97"/>
    <w:rsid w:val="00473713"/>
    <w:rsid w:val="0047490B"/>
    <w:rsid w:val="004914A0"/>
    <w:rsid w:val="004A7263"/>
    <w:rsid w:val="004B4EC1"/>
    <w:rsid w:val="004C1529"/>
    <w:rsid w:val="004D29DE"/>
    <w:rsid w:val="004D5766"/>
    <w:rsid w:val="0050536D"/>
    <w:rsid w:val="00507A96"/>
    <w:rsid w:val="00513BDD"/>
    <w:rsid w:val="00517263"/>
    <w:rsid w:val="00524E8E"/>
    <w:rsid w:val="005321C4"/>
    <w:rsid w:val="00543C19"/>
    <w:rsid w:val="0055157F"/>
    <w:rsid w:val="0055371F"/>
    <w:rsid w:val="005568A3"/>
    <w:rsid w:val="00563148"/>
    <w:rsid w:val="00565E9A"/>
    <w:rsid w:val="0057242E"/>
    <w:rsid w:val="0057422A"/>
    <w:rsid w:val="00574A92"/>
    <w:rsid w:val="00587C84"/>
    <w:rsid w:val="005A4868"/>
    <w:rsid w:val="005B0F72"/>
    <w:rsid w:val="005B4765"/>
    <w:rsid w:val="005C3F35"/>
    <w:rsid w:val="005E1031"/>
    <w:rsid w:val="005E59A5"/>
    <w:rsid w:val="005E5E6C"/>
    <w:rsid w:val="005F4092"/>
    <w:rsid w:val="00607DB1"/>
    <w:rsid w:val="006150C7"/>
    <w:rsid w:val="00616D0F"/>
    <w:rsid w:val="00620A0D"/>
    <w:rsid w:val="006262BA"/>
    <w:rsid w:val="00630B59"/>
    <w:rsid w:val="00634402"/>
    <w:rsid w:val="00636AEC"/>
    <w:rsid w:val="00642160"/>
    <w:rsid w:val="00643C58"/>
    <w:rsid w:val="0064632F"/>
    <w:rsid w:val="00647336"/>
    <w:rsid w:val="00651CEC"/>
    <w:rsid w:val="006806D0"/>
    <w:rsid w:val="00687738"/>
    <w:rsid w:val="00697F60"/>
    <w:rsid w:val="006A2BE9"/>
    <w:rsid w:val="006C0AE8"/>
    <w:rsid w:val="006D11FC"/>
    <w:rsid w:val="006D56B4"/>
    <w:rsid w:val="006E5890"/>
    <w:rsid w:val="006F6DCB"/>
    <w:rsid w:val="00707CB6"/>
    <w:rsid w:val="00711A32"/>
    <w:rsid w:val="00723EF4"/>
    <w:rsid w:val="00726279"/>
    <w:rsid w:val="007357B9"/>
    <w:rsid w:val="0075183A"/>
    <w:rsid w:val="00757E46"/>
    <w:rsid w:val="00761276"/>
    <w:rsid w:val="007628A0"/>
    <w:rsid w:val="00767EC0"/>
    <w:rsid w:val="00785C75"/>
    <w:rsid w:val="00793544"/>
    <w:rsid w:val="007A1601"/>
    <w:rsid w:val="007B468B"/>
    <w:rsid w:val="007B5959"/>
    <w:rsid w:val="007B6930"/>
    <w:rsid w:val="007C1111"/>
    <w:rsid w:val="007C2CAB"/>
    <w:rsid w:val="007C43EE"/>
    <w:rsid w:val="007D36C6"/>
    <w:rsid w:val="007E324A"/>
    <w:rsid w:val="007E6830"/>
    <w:rsid w:val="007F11A8"/>
    <w:rsid w:val="007F37A6"/>
    <w:rsid w:val="007F6D95"/>
    <w:rsid w:val="007F776D"/>
    <w:rsid w:val="00802ACA"/>
    <w:rsid w:val="0080685D"/>
    <w:rsid w:val="0081112F"/>
    <w:rsid w:val="00814A75"/>
    <w:rsid w:val="008178A8"/>
    <w:rsid w:val="00817E2A"/>
    <w:rsid w:val="00846B0F"/>
    <w:rsid w:val="00853F92"/>
    <w:rsid w:val="00867476"/>
    <w:rsid w:val="00876B7B"/>
    <w:rsid w:val="0089294B"/>
    <w:rsid w:val="008A02F8"/>
    <w:rsid w:val="008A1C3C"/>
    <w:rsid w:val="008C06DE"/>
    <w:rsid w:val="008D2679"/>
    <w:rsid w:val="008D2D06"/>
    <w:rsid w:val="008D4DB4"/>
    <w:rsid w:val="008D78B2"/>
    <w:rsid w:val="008E0926"/>
    <w:rsid w:val="008E120E"/>
    <w:rsid w:val="008F2CED"/>
    <w:rsid w:val="00903E37"/>
    <w:rsid w:val="00915BDB"/>
    <w:rsid w:val="00922871"/>
    <w:rsid w:val="009355EA"/>
    <w:rsid w:val="009360B8"/>
    <w:rsid w:val="009433CD"/>
    <w:rsid w:val="00943974"/>
    <w:rsid w:val="00961B9B"/>
    <w:rsid w:val="00961CDD"/>
    <w:rsid w:val="00965306"/>
    <w:rsid w:val="00973968"/>
    <w:rsid w:val="00990485"/>
    <w:rsid w:val="0099153D"/>
    <w:rsid w:val="00993C33"/>
    <w:rsid w:val="009A1D61"/>
    <w:rsid w:val="009B49FC"/>
    <w:rsid w:val="009B549B"/>
    <w:rsid w:val="009E27EB"/>
    <w:rsid w:val="009E313D"/>
    <w:rsid w:val="009E575E"/>
    <w:rsid w:val="009E701D"/>
    <w:rsid w:val="009F49F0"/>
    <w:rsid w:val="009F5D54"/>
    <w:rsid w:val="00A20444"/>
    <w:rsid w:val="00A323F5"/>
    <w:rsid w:val="00A3414F"/>
    <w:rsid w:val="00A37766"/>
    <w:rsid w:val="00A46337"/>
    <w:rsid w:val="00A47D88"/>
    <w:rsid w:val="00A56232"/>
    <w:rsid w:val="00A85887"/>
    <w:rsid w:val="00AA5523"/>
    <w:rsid w:val="00AB7D18"/>
    <w:rsid w:val="00AC097C"/>
    <w:rsid w:val="00AD2378"/>
    <w:rsid w:val="00AF2DEB"/>
    <w:rsid w:val="00AF582D"/>
    <w:rsid w:val="00AF5AAB"/>
    <w:rsid w:val="00B1223C"/>
    <w:rsid w:val="00B15A35"/>
    <w:rsid w:val="00B25226"/>
    <w:rsid w:val="00B27C98"/>
    <w:rsid w:val="00B33C62"/>
    <w:rsid w:val="00B36FA4"/>
    <w:rsid w:val="00B52715"/>
    <w:rsid w:val="00B552EB"/>
    <w:rsid w:val="00B569BF"/>
    <w:rsid w:val="00B6050D"/>
    <w:rsid w:val="00B610AD"/>
    <w:rsid w:val="00B64EEB"/>
    <w:rsid w:val="00B77AE7"/>
    <w:rsid w:val="00B80791"/>
    <w:rsid w:val="00B85125"/>
    <w:rsid w:val="00B912D7"/>
    <w:rsid w:val="00B93319"/>
    <w:rsid w:val="00BB2372"/>
    <w:rsid w:val="00BB515E"/>
    <w:rsid w:val="00BC2D5C"/>
    <w:rsid w:val="00BD4913"/>
    <w:rsid w:val="00BD587F"/>
    <w:rsid w:val="00C110B8"/>
    <w:rsid w:val="00C11BED"/>
    <w:rsid w:val="00C1635F"/>
    <w:rsid w:val="00C413BD"/>
    <w:rsid w:val="00C72BB1"/>
    <w:rsid w:val="00C755E9"/>
    <w:rsid w:val="00C7572F"/>
    <w:rsid w:val="00C80445"/>
    <w:rsid w:val="00C94254"/>
    <w:rsid w:val="00C963D7"/>
    <w:rsid w:val="00CA18CA"/>
    <w:rsid w:val="00CA5CF2"/>
    <w:rsid w:val="00CB2A62"/>
    <w:rsid w:val="00CB46F6"/>
    <w:rsid w:val="00CC009B"/>
    <w:rsid w:val="00CC2999"/>
    <w:rsid w:val="00CC65F2"/>
    <w:rsid w:val="00CD0BE0"/>
    <w:rsid w:val="00CD10C1"/>
    <w:rsid w:val="00CD2595"/>
    <w:rsid w:val="00CD3062"/>
    <w:rsid w:val="00D1477E"/>
    <w:rsid w:val="00D2687F"/>
    <w:rsid w:val="00D2691A"/>
    <w:rsid w:val="00D31919"/>
    <w:rsid w:val="00D404A4"/>
    <w:rsid w:val="00D571FC"/>
    <w:rsid w:val="00D623F0"/>
    <w:rsid w:val="00D64701"/>
    <w:rsid w:val="00D674A7"/>
    <w:rsid w:val="00D71127"/>
    <w:rsid w:val="00D74E2F"/>
    <w:rsid w:val="00D750A6"/>
    <w:rsid w:val="00D803F7"/>
    <w:rsid w:val="00D80E7F"/>
    <w:rsid w:val="00D83DE7"/>
    <w:rsid w:val="00D9347A"/>
    <w:rsid w:val="00DA371C"/>
    <w:rsid w:val="00DA5A5F"/>
    <w:rsid w:val="00DC5299"/>
    <w:rsid w:val="00DD037C"/>
    <w:rsid w:val="00DD2804"/>
    <w:rsid w:val="00DE59B2"/>
    <w:rsid w:val="00DE7D6C"/>
    <w:rsid w:val="00DF2355"/>
    <w:rsid w:val="00DF2C76"/>
    <w:rsid w:val="00DF3A46"/>
    <w:rsid w:val="00E117C1"/>
    <w:rsid w:val="00E13C97"/>
    <w:rsid w:val="00E32E4B"/>
    <w:rsid w:val="00E330A3"/>
    <w:rsid w:val="00E469AD"/>
    <w:rsid w:val="00E54865"/>
    <w:rsid w:val="00E54A61"/>
    <w:rsid w:val="00E6329C"/>
    <w:rsid w:val="00E826A5"/>
    <w:rsid w:val="00E84467"/>
    <w:rsid w:val="00E9004F"/>
    <w:rsid w:val="00EA2B70"/>
    <w:rsid w:val="00EB1790"/>
    <w:rsid w:val="00EC38C8"/>
    <w:rsid w:val="00EC5123"/>
    <w:rsid w:val="00EC5A59"/>
    <w:rsid w:val="00ED5BB4"/>
    <w:rsid w:val="00EE3CED"/>
    <w:rsid w:val="00EF1D79"/>
    <w:rsid w:val="00EF62D4"/>
    <w:rsid w:val="00F42CD6"/>
    <w:rsid w:val="00F44CAE"/>
    <w:rsid w:val="00F45274"/>
    <w:rsid w:val="00F529FA"/>
    <w:rsid w:val="00F5538F"/>
    <w:rsid w:val="00F560A1"/>
    <w:rsid w:val="00F6020C"/>
    <w:rsid w:val="00F62999"/>
    <w:rsid w:val="00F63354"/>
    <w:rsid w:val="00F66217"/>
    <w:rsid w:val="00F713B3"/>
    <w:rsid w:val="00F74A1A"/>
    <w:rsid w:val="00F76142"/>
    <w:rsid w:val="00F80906"/>
    <w:rsid w:val="00F8274F"/>
    <w:rsid w:val="00F85F69"/>
    <w:rsid w:val="00F9548C"/>
    <w:rsid w:val="00F976E8"/>
    <w:rsid w:val="00FA0E6B"/>
    <w:rsid w:val="00FA2EF7"/>
    <w:rsid w:val="00FA4032"/>
    <w:rsid w:val="00FB18F4"/>
    <w:rsid w:val="00FB5C55"/>
    <w:rsid w:val="00FB6E32"/>
    <w:rsid w:val="00FD5ED0"/>
    <w:rsid w:val="00FE69A4"/>
    <w:rsid w:val="47D9418D"/>
    <w:rsid w:val="5A521391"/>
    <w:rsid w:val="646A6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imes New Roman (正文 CS 字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仿宋" w:hAnsi="仿宋" w:eastAsia="仿宋" w:cs="Times New Roman (正文 CS 字体)"/>
      <w:kern w:val="2"/>
      <w:sz w:val="28"/>
      <w:szCs w:val="24"/>
      <w:lang w:val="en-US" w:eastAsia="zh-CN" w:bidi="ar-SA"/>
    </w:rPr>
  </w:style>
  <w:style w:type="paragraph" w:styleId="2">
    <w:name w:val="heading 1"/>
    <w:basedOn w:val="1"/>
    <w:next w:val="1"/>
    <w:link w:val="23"/>
    <w:autoRedefine/>
    <w:qFormat/>
    <w:uiPriority w:val="9"/>
    <w:pPr>
      <w:keepNext/>
      <w:keepLines/>
      <w:spacing w:before="340" w:after="330" w:line="480" w:lineRule="auto"/>
      <w:ind w:firstLine="602"/>
      <w:outlineLvl w:val="0"/>
    </w:pPr>
    <w:rPr>
      <w:b/>
      <w:bCs/>
      <w:kern w:val="44"/>
      <w:sz w:val="30"/>
      <w:szCs w:val="44"/>
    </w:rPr>
  </w:style>
  <w:style w:type="paragraph" w:styleId="3">
    <w:name w:val="heading 2"/>
    <w:basedOn w:val="1"/>
    <w:next w:val="1"/>
    <w:link w:val="24"/>
    <w:autoRedefine/>
    <w:unhideWhenUsed/>
    <w:qFormat/>
    <w:uiPriority w:val="9"/>
    <w:pPr>
      <w:keepNext/>
      <w:keepLines/>
      <w:spacing w:before="260" w:after="260"/>
      <w:outlineLvl w:val="1"/>
    </w:pPr>
    <w:rPr>
      <w:rFonts w:eastAsia="仿宋" w:asciiTheme="majorHAnsi" w:hAnsiTheme="majorHAnsi" w:cstheme="majorBidi"/>
      <w:b/>
      <w:bCs/>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autoRedefine/>
    <w:semiHidden/>
    <w:unhideWhenUsed/>
    <w:qFormat/>
    <w:uiPriority w:val="39"/>
    <w:pPr>
      <w:ind w:left="1680"/>
      <w:jc w:val="left"/>
    </w:pPr>
    <w:rPr>
      <w:rFonts w:asciiTheme="minorHAnsi" w:eastAsiaTheme="minorHAnsi"/>
      <w:sz w:val="20"/>
      <w:szCs w:val="20"/>
    </w:rPr>
  </w:style>
  <w:style w:type="paragraph" w:styleId="5">
    <w:name w:val="toc 5"/>
    <w:basedOn w:val="1"/>
    <w:next w:val="1"/>
    <w:autoRedefine/>
    <w:semiHidden/>
    <w:unhideWhenUsed/>
    <w:qFormat/>
    <w:uiPriority w:val="39"/>
    <w:pPr>
      <w:ind w:left="1120"/>
      <w:jc w:val="left"/>
    </w:pPr>
    <w:rPr>
      <w:rFonts w:asciiTheme="minorHAnsi" w:eastAsiaTheme="minorHAnsi"/>
      <w:sz w:val="20"/>
      <w:szCs w:val="20"/>
    </w:rPr>
  </w:style>
  <w:style w:type="paragraph" w:styleId="6">
    <w:name w:val="toc 3"/>
    <w:basedOn w:val="1"/>
    <w:next w:val="1"/>
    <w:autoRedefine/>
    <w:unhideWhenUsed/>
    <w:qFormat/>
    <w:uiPriority w:val="39"/>
    <w:pPr>
      <w:ind w:left="560"/>
      <w:jc w:val="left"/>
    </w:pPr>
    <w:rPr>
      <w:rFonts w:asciiTheme="minorHAnsi" w:eastAsiaTheme="minorHAnsi"/>
      <w:sz w:val="20"/>
      <w:szCs w:val="20"/>
    </w:rPr>
  </w:style>
  <w:style w:type="paragraph" w:styleId="7">
    <w:name w:val="toc 8"/>
    <w:basedOn w:val="1"/>
    <w:next w:val="1"/>
    <w:autoRedefine/>
    <w:semiHidden/>
    <w:unhideWhenUsed/>
    <w:qFormat/>
    <w:uiPriority w:val="39"/>
    <w:pPr>
      <w:ind w:left="1960"/>
      <w:jc w:val="left"/>
    </w:pPr>
    <w:rPr>
      <w:rFonts w:asciiTheme="minorHAnsi" w:eastAsiaTheme="minorHAnsi"/>
      <w:sz w:val="20"/>
      <w:szCs w:val="20"/>
    </w:rPr>
  </w:style>
  <w:style w:type="paragraph" w:styleId="8">
    <w:name w:val="footer"/>
    <w:basedOn w:val="1"/>
    <w:link w:val="30"/>
    <w:unhideWhenUsed/>
    <w:qFormat/>
    <w:uiPriority w:val="99"/>
    <w:pPr>
      <w:tabs>
        <w:tab w:val="center" w:pos="4153"/>
        <w:tab w:val="right" w:pos="8306"/>
      </w:tabs>
      <w:snapToGrid w:val="0"/>
      <w:jc w:val="left"/>
    </w:pPr>
    <w:rPr>
      <w:sz w:val="18"/>
      <w:szCs w:val="18"/>
    </w:rPr>
  </w:style>
  <w:style w:type="paragraph" w:styleId="9">
    <w:name w:val="header"/>
    <w:basedOn w:val="1"/>
    <w:link w:val="3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0">
    <w:name w:val="toc 1"/>
    <w:basedOn w:val="1"/>
    <w:next w:val="1"/>
    <w:autoRedefine/>
    <w:unhideWhenUsed/>
    <w:qFormat/>
    <w:uiPriority w:val="39"/>
    <w:pPr>
      <w:spacing w:before="120"/>
      <w:jc w:val="left"/>
    </w:pPr>
    <w:rPr>
      <w:rFonts w:asciiTheme="minorHAnsi" w:eastAsiaTheme="minorHAnsi"/>
      <w:b/>
      <w:bCs/>
      <w:iCs/>
      <w:sz w:val="24"/>
    </w:rPr>
  </w:style>
  <w:style w:type="paragraph" w:styleId="11">
    <w:name w:val="toc 4"/>
    <w:basedOn w:val="1"/>
    <w:next w:val="1"/>
    <w:autoRedefine/>
    <w:semiHidden/>
    <w:unhideWhenUsed/>
    <w:uiPriority w:val="39"/>
    <w:pPr>
      <w:ind w:left="840"/>
      <w:jc w:val="left"/>
    </w:pPr>
    <w:rPr>
      <w:rFonts w:asciiTheme="minorHAnsi" w:eastAsiaTheme="minorHAnsi"/>
      <w:sz w:val="20"/>
      <w:szCs w:val="20"/>
    </w:rPr>
  </w:style>
  <w:style w:type="paragraph" w:styleId="12">
    <w:name w:val="Subtitle"/>
    <w:basedOn w:val="1"/>
    <w:next w:val="1"/>
    <w:link w:val="26"/>
    <w:autoRedefine/>
    <w:qFormat/>
    <w:uiPriority w:val="0"/>
    <w:pPr>
      <w:widowControl/>
      <w:spacing w:before="120" w:after="120" w:line="312" w:lineRule="auto"/>
      <w:ind w:firstLine="0" w:firstLineChars="0"/>
      <w:jc w:val="center"/>
      <w:outlineLvl w:val="1"/>
    </w:pPr>
    <w:rPr>
      <w:rFonts w:eastAsia="宋体" w:asciiTheme="majorHAnsi" w:hAnsiTheme="majorHAnsi" w:cstheme="majorBidi"/>
      <w:b/>
      <w:bCs/>
      <w:kern w:val="28"/>
      <w:szCs w:val="32"/>
    </w:rPr>
  </w:style>
  <w:style w:type="paragraph" w:styleId="13">
    <w:name w:val="footnote text"/>
    <w:basedOn w:val="1"/>
    <w:link w:val="28"/>
    <w:semiHidden/>
    <w:unhideWhenUsed/>
    <w:qFormat/>
    <w:uiPriority w:val="99"/>
    <w:pPr>
      <w:snapToGrid w:val="0"/>
      <w:jc w:val="left"/>
    </w:pPr>
    <w:rPr>
      <w:sz w:val="18"/>
      <w:szCs w:val="18"/>
    </w:rPr>
  </w:style>
  <w:style w:type="paragraph" w:styleId="14">
    <w:name w:val="toc 6"/>
    <w:basedOn w:val="1"/>
    <w:next w:val="1"/>
    <w:autoRedefine/>
    <w:semiHidden/>
    <w:unhideWhenUsed/>
    <w:qFormat/>
    <w:uiPriority w:val="39"/>
    <w:pPr>
      <w:ind w:left="1400"/>
      <w:jc w:val="left"/>
    </w:pPr>
    <w:rPr>
      <w:rFonts w:asciiTheme="minorHAnsi" w:eastAsiaTheme="minorHAnsi"/>
      <w:sz w:val="20"/>
      <w:szCs w:val="20"/>
    </w:rPr>
  </w:style>
  <w:style w:type="paragraph" w:styleId="15">
    <w:name w:val="toc 2"/>
    <w:basedOn w:val="1"/>
    <w:next w:val="1"/>
    <w:autoRedefine/>
    <w:unhideWhenUsed/>
    <w:qFormat/>
    <w:uiPriority w:val="39"/>
    <w:pPr>
      <w:spacing w:before="120"/>
      <w:ind w:left="280"/>
      <w:jc w:val="left"/>
    </w:pPr>
    <w:rPr>
      <w:rFonts w:asciiTheme="minorHAnsi" w:eastAsiaTheme="minorHAnsi"/>
      <w:b/>
      <w:bCs/>
      <w:sz w:val="22"/>
      <w:szCs w:val="22"/>
    </w:rPr>
  </w:style>
  <w:style w:type="paragraph" w:styleId="16">
    <w:name w:val="toc 9"/>
    <w:basedOn w:val="1"/>
    <w:next w:val="1"/>
    <w:autoRedefine/>
    <w:semiHidden/>
    <w:unhideWhenUsed/>
    <w:qFormat/>
    <w:uiPriority w:val="39"/>
    <w:pPr>
      <w:ind w:left="2240"/>
      <w:jc w:val="left"/>
    </w:pPr>
    <w:rPr>
      <w:rFonts w:asciiTheme="minorHAnsi" w:eastAsiaTheme="minorHAnsi"/>
      <w:sz w:val="20"/>
      <w:szCs w:val="20"/>
    </w:rPr>
  </w:style>
  <w:style w:type="paragraph" w:styleId="17">
    <w:name w:val="Title"/>
    <w:basedOn w:val="1"/>
    <w:next w:val="1"/>
    <w:link w:val="32"/>
    <w:autoRedefine/>
    <w:qFormat/>
    <w:uiPriority w:val="10"/>
    <w:pPr>
      <w:spacing w:before="240" w:after="60" w:line="480" w:lineRule="auto"/>
      <w:jc w:val="center"/>
      <w:outlineLvl w:val="0"/>
    </w:pPr>
    <w:rPr>
      <w:rFonts w:asciiTheme="majorHAnsi" w:hAnsiTheme="majorHAnsi" w:eastAsiaTheme="majorEastAsia" w:cstheme="majorBidi"/>
      <w:b/>
      <w:bCs/>
      <w:sz w:val="52"/>
      <w:szCs w:val="32"/>
    </w:rPr>
  </w:style>
  <w:style w:type="character" w:styleId="20">
    <w:name w:val="page number"/>
    <w:basedOn w:val="19"/>
    <w:semiHidden/>
    <w:unhideWhenUsed/>
    <w:qFormat/>
    <w:uiPriority w:val="99"/>
  </w:style>
  <w:style w:type="character" w:styleId="21">
    <w:name w:val="Hyperlink"/>
    <w:basedOn w:val="19"/>
    <w:unhideWhenUsed/>
    <w:qFormat/>
    <w:uiPriority w:val="99"/>
    <w:rPr>
      <w:color w:val="0563C1" w:themeColor="hyperlink"/>
      <w:u w:val="single"/>
      <w14:textFill>
        <w14:solidFill>
          <w14:schemeClr w14:val="hlink"/>
        </w14:solidFill>
      </w14:textFill>
    </w:rPr>
  </w:style>
  <w:style w:type="character" w:styleId="22">
    <w:name w:val="footnote reference"/>
    <w:basedOn w:val="19"/>
    <w:semiHidden/>
    <w:unhideWhenUsed/>
    <w:qFormat/>
    <w:uiPriority w:val="99"/>
    <w:rPr>
      <w:vertAlign w:val="superscript"/>
    </w:rPr>
  </w:style>
  <w:style w:type="character" w:customStyle="1" w:styleId="23">
    <w:name w:val="标题 1 字符"/>
    <w:basedOn w:val="19"/>
    <w:link w:val="2"/>
    <w:qFormat/>
    <w:uiPriority w:val="9"/>
    <w:rPr>
      <w:b/>
      <w:bCs/>
      <w:kern w:val="44"/>
      <w:sz w:val="30"/>
      <w:szCs w:val="44"/>
    </w:rPr>
  </w:style>
  <w:style w:type="character" w:customStyle="1" w:styleId="24">
    <w:name w:val="标题 2 字符"/>
    <w:basedOn w:val="19"/>
    <w:link w:val="3"/>
    <w:qFormat/>
    <w:uiPriority w:val="9"/>
    <w:rPr>
      <w:rFonts w:eastAsia="仿宋" w:asciiTheme="majorHAnsi" w:hAnsiTheme="majorHAnsi" w:cstheme="majorBidi"/>
      <w:b/>
      <w:bCs/>
      <w:sz w:val="28"/>
      <w:szCs w:val="32"/>
    </w:rPr>
  </w:style>
  <w:style w:type="paragraph" w:customStyle="1" w:styleId="25">
    <w:name w:val="正文1"/>
    <w:basedOn w:val="1"/>
    <w:qFormat/>
    <w:uiPriority w:val="0"/>
    <w:pPr>
      <w:widowControl/>
      <w:ind w:firstLine="0" w:firstLineChars="0"/>
      <w:jc w:val="left"/>
    </w:pPr>
    <w:rPr>
      <w:rFonts w:ascii="Times New Roman" w:hAnsi="Times New Roman" w:eastAsia="仿宋" w:cs="Times New Roman"/>
      <w:kern w:val="0"/>
    </w:rPr>
  </w:style>
  <w:style w:type="character" w:customStyle="1" w:styleId="26">
    <w:name w:val="副标题 字符"/>
    <w:basedOn w:val="19"/>
    <w:link w:val="12"/>
    <w:qFormat/>
    <w:uiPriority w:val="0"/>
    <w:rPr>
      <w:rFonts w:eastAsia="宋体" w:asciiTheme="majorHAnsi" w:hAnsiTheme="majorHAnsi" w:cstheme="majorBidi"/>
      <w:b/>
      <w:bCs/>
      <w:kern w:val="28"/>
      <w:sz w:val="28"/>
      <w:szCs w:val="32"/>
    </w:rPr>
  </w:style>
  <w:style w:type="paragraph" w:styleId="27">
    <w:name w:val="List Paragraph"/>
    <w:basedOn w:val="1"/>
    <w:qFormat/>
    <w:uiPriority w:val="34"/>
    <w:pPr>
      <w:ind w:firstLine="420"/>
    </w:pPr>
  </w:style>
  <w:style w:type="character" w:customStyle="1" w:styleId="28">
    <w:name w:val="脚注文本 字符"/>
    <w:basedOn w:val="19"/>
    <w:link w:val="13"/>
    <w:semiHidden/>
    <w:qFormat/>
    <w:uiPriority w:val="99"/>
    <w:rPr>
      <w:sz w:val="18"/>
      <w:szCs w:val="18"/>
    </w:rPr>
  </w:style>
  <w:style w:type="paragraph" w:customStyle="1" w:styleId="29">
    <w:name w:val="TOC Heading"/>
    <w:basedOn w:val="2"/>
    <w:next w:val="1"/>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30">
    <w:name w:val="页脚 字符"/>
    <w:basedOn w:val="19"/>
    <w:link w:val="8"/>
    <w:qFormat/>
    <w:uiPriority w:val="99"/>
    <w:rPr>
      <w:sz w:val="18"/>
      <w:szCs w:val="18"/>
    </w:rPr>
  </w:style>
  <w:style w:type="character" w:customStyle="1" w:styleId="31">
    <w:name w:val="Book Title"/>
    <w:basedOn w:val="19"/>
    <w:qFormat/>
    <w:uiPriority w:val="33"/>
    <w:rPr>
      <w:b/>
      <w:bCs/>
      <w:i/>
      <w:iCs/>
      <w:spacing w:val="5"/>
    </w:rPr>
  </w:style>
  <w:style w:type="character" w:customStyle="1" w:styleId="32">
    <w:name w:val="标题 字符"/>
    <w:basedOn w:val="19"/>
    <w:link w:val="17"/>
    <w:qFormat/>
    <w:uiPriority w:val="10"/>
    <w:rPr>
      <w:rFonts w:asciiTheme="majorHAnsi" w:hAnsiTheme="majorHAnsi" w:eastAsiaTheme="majorEastAsia" w:cstheme="majorBidi"/>
      <w:b/>
      <w:bCs/>
      <w:sz w:val="52"/>
      <w:szCs w:val="32"/>
    </w:rPr>
  </w:style>
  <w:style w:type="paragraph" w:styleId="33">
    <w:name w:val="Intense Quote"/>
    <w:basedOn w:val="1"/>
    <w:next w:val="1"/>
    <w:link w:val="34"/>
    <w:autoRedefine/>
    <w:qFormat/>
    <w:uiPriority w:val="30"/>
    <w:pPr>
      <w:pBdr>
        <w:top w:val="single" w:color="4472C4" w:themeColor="accent1" w:sz="4" w:space="10"/>
        <w:bottom w:val="single" w:color="4472C4" w:themeColor="accent1" w:sz="4" w:space="10"/>
      </w:pBdr>
      <w:spacing w:before="360" w:after="360"/>
      <w:ind w:left="864" w:right="864"/>
      <w:jc w:val="center"/>
    </w:pPr>
    <w:rPr>
      <w:iCs/>
      <w:color w:val="4472C4" w:themeColor="accent1"/>
      <w14:textFill>
        <w14:solidFill>
          <w14:schemeClr w14:val="accent1"/>
        </w14:solidFill>
      </w14:textFill>
    </w:rPr>
  </w:style>
  <w:style w:type="character" w:customStyle="1" w:styleId="34">
    <w:name w:val="明显引用 字符"/>
    <w:basedOn w:val="19"/>
    <w:link w:val="33"/>
    <w:qFormat/>
    <w:uiPriority w:val="30"/>
    <w:rPr>
      <w:iCs/>
      <w:color w:val="4472C4" w:themeColor="accent1"/>
      <w14:textFill>
        <w14:solidFill>
          <w14:schemeClr w14:val="accent1"/>
        </w14:solidFill>
      </w14:textFill>
    </w:rPr>
  </w:style>
  <w:style w:type="character" w:customStyle="1" w:styleId="35">
    <w:name w:val="页眉 字符"/>
    <w:basedOn w:val="19"/>
    <w:link w:val="9"/>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C5CCB-1BA9-564D-B1F9-A7912764EF8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261</Words>
  <Characters>270</Characters>
  <Lines>67</Lines>
  <Paragraphs>19</Paragraphs>
  <TotalTime>415</TotalTime>
  <ScaleCrop>false</ScaleCrop>
  <LinksUpToDate>false</LinksUpToDate>
  <CharactersWithSpaces>342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2025-02-13T07:34:00Z</dcterms:created>
  <dc:creator>decong jin</dc:creator>
  <cp:lastModifiedBy>小梨粥</cp:lastModifiedBy>
  <dcterms:modified xsi:type="dcterms:W3CDTF">2026-09-02T02:23:19Z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40B2FAA88CE040ADB588C8723EB342CD_13</vt:lpwstr>
  </property>
</Properties>
</file>