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9F19BD">
      <w:bookmarkStart w:id="0" w:name="_Toc16345"/>
      <w:bookmarkStart w:id="30" w:name="_GoBack"/>
      <w:bookmarkEnd w:id="30"/>
    </w:p>
    <w:p w14:paraId="669F19BE">
      <w:pPr>
        <w:pStyle w:val="12"/>
        <w:ind w:firstLine="1041"/>
        <w:jc w:val="both"/>
        <w:rPr>
          <w:rStyle w:val="24"/>
          <w:rFonts w:ascii="Times New Roman" w:hAnsi="Times New Roman" w:eastAsia="宋体" w:cstheme="minorBidi"/>
          <w:b/>
          <w:bCs/>
          <w:i w:val="0"/>
          <w:iCs w:val="0"/>
          <w:spacing w:val="0"/>
          <w:sz w:val="24"/>
          <w:szCs w:val="22"/>
        </w:rPr>
      </w:pPr>
      <w:bookmarkStart w:id="1" w:name="_Toc193446461"/>
    </w:p>
    <w:p w14:paraId="669F19BF">
      <w:pPr>
        <w:pStyle w:val="12"/>
        <w:ind w:firstLine="1041"/>
        <w:jc w:val="both"/>
        <w:rPr>
          <w:rStyle w:val="24"/>
          <w:rFonts w:ascii="Times New Roman" w:hAnsi="Times New Roman" w:eastAsia="宋体" w:cstheme="minorBidi"/>
          <w:b/>
          <w:bCs/>
          <w:i w:val="0"/>
          <w:iCs w:val="0"/>
          <w:spacing w:val="0"/>
          <w:sz w:val="24"/>
          <w:szCs w:val="22"/>
        </w:rPr>
      </w:pPr>
    </w:p>
    <w:p w14:paraId="669F19C0">
      <w:pPr>
        <w:pStyle w:val="12"/>
        <w:ind w:firstLine="0"/>
        <w:jc w:val="both"/>
        <w:rPr>
          <w:rStyle w:val="24"/>
          <w:rFonts w:ascii="Times New Roman" w:hAnsi="Times New Roman" w:eastAsia="宋体" w:cstheme="minorBidi"/>
          <w:b/>
          <w:bCs/>
          <w:i w:val="0"/>
          <w:iCs w:val="0"/>
          <w:spacing w:val="0"/>
          <w:sz w:val="24"/>
          <w:szCs w:val="22"/>
        </w:rPr>
      </w:pPr>
    </w:p>
    <w:p w14:paraId="669F19C1">
      <w:pPr>
        <w:pStyle w:val="12"/>
        <w:ind w:firstLine="0"/>
        <w:rPr>
          <w:rStyle w:val="24"/>
          <w:rFonts w:ascii="Times New Roman" w:hAnsi="Times New Roman" w:eastAsia="宋体" w:cs="Times New Roman"/>
          <w:b/>
          <w:bCs/>
          <w:i w:val="0"/>
          <w:iCs w:val="0"/>
          <w:spacing w:val="0"/>
          <w:sz w:val="24"/>
          <w:szCs w:val="52"/>
        </w:rPr>
      </w:pPr>
      <w:r>
        <w:rPr>
          <w:rStyle w:val="24"/>
          <w:rFonts w:hint="eastAsia" w:ascii="Times New Roman" w:hAnsi="Times New Roman" w:eastAsia="宋体" w:cs="Times New Roman"/>
          <w:b/>
          <w:bCs/>
          <w:i w:val="0"/>
          <w:iCs w:val="0"/>
          <w:spacing w:val="0"/>
        </w:rPr>
        <w:t>城市更新</w:t>
      </w:r>
      <w:r>
        <w:rPr>
          <w:rStyle w:val="24"/>
          <w:rFonts w:hint="eastAsia" w:ascii="Times New Roman" w:hAnsi="Times New Roman" w:eastAsia="宋体" w:cs="Times New Roman"/>
          <w:b/>
          <w:bCs/>
          <w:i w:val="0"/>
          <w:iCs w:val="0"/>
          <w:spacing w:val="0"/>
          <w:szCs w:val="52"/>
        </w:rPr>
        <w:t>法律制度破局与重构</w:t>
      </w:r>
    </w:p>
    <w:p w14:paraId="669F19C2">
      <w:pPr>
        <w:pStyle w:val="12"/>
        <w:ind w:firstLine="0"/>
        <w:rPr>
          <w:rStyle w:val="24"/>
          <w:b/>
          <w:bCs/>
          <w:i w:val="0"/>
          <w:iCs w:val="0"/>
          <w:spacing w:val="0"/>
        </w:rPr>
      </w:pPr>
      <w:r>
        <w:rPr>
          <w:rStyle w:val="24"/>
          <w:rFonts w:hint="eastAsia"/>
          <w:b/>
          <w:bCs/>
          <w:i w:val="0"/>
          <w:iCs w:val="0"/>
          <w:spacing w:val="0"/>
        </w:rPr>
        <w:t>研究报告</w:t>
      </w:r>
      <w:bookmarkEnd w:id="1"/>
    </w:p>
    <w:p w14:paraId="669F19C3"/>
    <w:p w14:paraId="669F19C4"/>
    <w:p w14:paraId="669F19C5"/>
    <w:p w14:paraId="669F19C6"/>
    <w:p w14:paraId="669F19C7"/>
    <w:p w14:paraId="669F19C8">
      <w:pPr>
        <w:pStyle w:val="25"/>
        <w:ind w:firstLine="560"/>
      </w:pPr>
      <w:r>
        <w:rPr>
          <w:rFonts w:hint="eastAsia"/>
        </w:rPr>
        <w:t>主办单位</w:t>
      </w:r>
    </w:p>
    <w:p w14:paraId="669F19C9">
      <w:pPr>
        <w:pStyle w:val="25"/>
        <w:ind w:firstLine="560"/>
      </w:pPr>
      <w:r>
        <w:t>浙江省房地产业协会 房地产研究分会</w:t>
      </w:r>
    </w:p>
    <w:p w14:paraId="669F19CA">
      <w:pPr>
        <w:pStyle w:val="25"/>
        <w:ind w:firstLine="560"/>
      </w:pPr>
      <w:r>
        <w:rPr>
          <w:rFonts w:hint="eastAsia"/>
        </w:rPr>
        <w:t>浙江省</w:t>
      </w:r>
      <w:r>
        <w:t>房地产业协会</w:t>
      </w:r>
      <w:r>
        <w:rPr>
          <w:rFonts w:hint="eastAsia"/>
        </w:rPr>
        <w:t xml:space="preserve"> 法律与维权专业委员会</w:t>
      </w:r>
    </w:p>
    <w:p w14:paraId="669F19CB">
      <w:pPr>
        <w:pStyle w:val="25"/>
        <w:ind w:firstLine="560"/>
      </w:pPr>
      <w:r>
        <w:rPr>
          <w:rFonts w:hint="eastAsia"/>
        </w:rPr>
        <w:t>承办单位</w:t>
      </w:r>
    </w:p>
    <w:p w14:paraId="669F19CC">
      <w:pPr>
        <w:pStyle w:val="25"/>
        <w:ind w:firstLine="560"/>
        <w:sectPr>
          <w:headerReference r:id="rId7" w:type="first"/>
          <w:footerReference r:id="rId10" w:type="first"/>
          <w:headerReference r:id="rId5" w:type="default"/>
          <w:footerReference r:id="rId8" w:type="default"/>
          <w:headerReference r:id="rId6" w:type="even"/>
          <w:footerReference r:id="rId9" w:type="even"/>
          <w:pgSz w:w="11900" w:h="16840"/>
          <w:pgMar w:top="1440" w:right="1800" w:bottom="1440" w:left="1800" w:header="851" w:footer="992" w:gutter="0"/>
          <w:pgNumType w:fmt="numberInDash"/>
          <w:cols w:space="425" w:num="1"/>
          <w:docGrid w:type="lines" w:linePitch="312" w:charSpace="0"/>
        </w:sectPr>
      </w:pPr>
      <w:r>
        <w:rPr>
          <w:rFonts w:hint="eastAsia"/>
        </w:rPr>
        <w:t>浙江东鹰律师事务所</w:t>
      </w:r>
    </w:p>
    <w:sdt>
      <w:sdtPr>
        <w:rPr>
          <w:rFonts w:eastAsia="黑体"/>
          <w:color w:val="auto"/>
        </w:rPr>
        <w:id w:val="147468845"/>
        <w15:color w:val="DBDBDB"/>
        <w:docPartObj>
          <w:docPartGallery w:val="Table of Contents"/>
          <w:docPartUnique/>
        </w:docPartObj>
      </w:sdtPr>
      <w:sdtEndPr>
        <w:rPr>
          <w:rFonts w:eastAsia="黑体"/>
          <w:color w:val="auto"/>
        </w:rPr>
      </w:sdtEndPr>
      <w:sdtContent>
        <w:p w14:paraId="669F19CE">
          <w:pPr>
            <w:pStyle w:val="4"/>
            <w:jc w:val="center"/>
          </w:pPr>
          <w:r>
            <w:t>目录</w:t>
          </w:r>
          <w:r>
            <w:fldChar w:fldCharType="begin"/>
          </w:r>
          <w:r>
            <w:instrText xml:space="preserve">TOC \o "1-3" \h \u </w:instrText>
          </w:r>
          <w:r>
            <w:fldChar w:fldCharType="separate"/>
          </w:r>
        </w:p>
        <w:p w14:paraId="669F19CF">
          <w:pPr>
            <w:pStyle w:val="10"/>
            <w:tabs>
              <w:tab w:val="right" w:leader="dot" w:pos="9026"/>
            </w:tabs>
            <w:spacing w:line="240" w:lineRule="auto"/>
            <w:ind w:left="480"/>
            <w:jc w:val="left"/>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_Toc32463 </w:instrText>
          </w:r>
          <w:r>
            <w:rPr>
              <w:rFonts w:hint="eastAsia" w:ascii="黑体" w:hAnsi="黑体" w:eastAsia="黑体" w:cs="黑体"/>
            </w:rPr>
            <w:fldChar w:fldCharType="separate"/>
          </w:r>
          <w:r>
            <w:rPr>
              <w:rFonts w:hint="eastAsia" w:ascii="黑体" w:hAnsi="黑体" w:eastAsia="黑体" w:cs="黑体"/>
            </w:rPr>
            <w:t>绪论：城市更新的发展脉络、制度瓶颈与他山之石</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_Toc32463 \h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fldChar w:fldCharType="end"/>
          </w:r>
        </w:p>
        <w:p w14:paraId="669F19D0">
          <w:pPr>
            <w:pStyle w:val="10"/>
            <w:tabs>
              <w:tab w:val="right" w:leader="dot" w:pos="9026"/>
            </w:tabs>
            <w:spacing w:line="240" w:lineRule="auto"/>
            <w:ind w:left="480"/>
            <w:jc w:val="left"/>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_Toc16884 </w:instrText>
          </w:r>
          <w:r>
            <w:rPr>
              <w:rFonts w:hint="eastAsia" w:ascii="黑体" w:hAnsi="黑体" w:eastAsia="黑体" w:cs="黑体"/>
            </w:rPr>
            <w:fldChar w:fldCharType="separate"/>
          </w:r>
          <w:r>
            <w:rPr>
              <w:rFonts w:hint="eastAsia" w:ascii="黑体" w:hAnsi="黑体" w:eastAsia="黑体" w:cs="黑体"/>
            </w:rPr>
            <w:t>一、城市更新中的关键法律机制</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_Toc16884 \h </w:instrText>
          </w:r>
          <w:r>
            <w:rPr>
              <w:rFonts w:hint="eastAsia" w:ascii="黑体" w:hAnsi="黑体" w:eastAsia="黑体" w:cs="黑体"/>
            </w:rPr>
            <w:fldChar w:fldCharType="separate"/>
          </w:r>
          <w:r>
            <w:rPr>
              <w:rFonts w:hint="eastAsia" w:ascii="黑体" w:hAnsi="黑体" w:eastAsia="黑体" w:cs="黑体"/>
            </w:rPr>
            <w:t>4</w:t>
          </w:r>
          <w:r>
            <w:rPr>
              <w:rFonts w:hint="eastAsia" w:ascii="黑体" w:hAnsi="黑体" w:eastAsia="黑体" w:cs="黑体"/>
            </w:rPr>
            <w:fldChar w:fldCharType="end"/>
          </w:r>
          <w:r>
            <w:rPr>
              <w:rFonts w:hint="eastAsia" w:ascii="黑体" w:hAnsi="黑体" w:eastAsia="黑体" w:cs="黑体"/>
            </w:rPr>
            <w:fldChar w:fldCharType="end"/>
          </w:r>
        </w:p>
        <w:p w14:paraId="669F19D1">
          <w:pPr>
            <w:pStyle w:val="5"/>
            <w:tabs>
              <w:tab w:val="right" w:leader="dot" w:pos="9026"/>
            </w:tabs>
            <w:spacing w:line="240" w:lineRule="auto"/>
            <w:ind w:left="960"/>
            <w:jc w:val="left"/>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_Toc2277 </w:instrText>
          </w:r>
          <w:r>
            <w:rPr>
              <w:rFonts w:hint="eastAsia" w:ascii="黑体" w:hAnsi="黑体" w:eastAsia="黑体" w:cs="黑体"/>
            </w:rPr>
            <w:fldChar w:fldCharType="separate"/>
          </w:r>
          <w:r>
            <w:rPr>
              <w:rFonts w:hint="eastAsia" w:ascii="黑体" w:hAnsi="黑体" w:eastAsia="黑体" w:cs="黑体"/>
            </w:rPr>
            <w:t>（一）城市更新项目的启动与申报</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_Toc2277 \h </w:instrText>
          </w:r>
          <w:r>
            <w:rPr>
              <w:rFonts w:hint="eastAsia" w:ascii="黑体" w:hAnsi="黑体" w:eastAsia="黑体" w:cs="黑体"/>
            </w:rPr>
            <w:fldChar w:fldCharType="separate"/>
          </w:r>
          <w:r>
            <w:rPr>
              <w:rFonts w:hint="eastAsia" w:ascii="黑体" w:hAnsi="黑体" w:eastAsia="黑体" w:cs="黑体"/>
            </w:rPr>
            <w:t>4</w:t>
          </w:r>
          <w:r>
            <w:rPr>
              <w:rFonts w:hint="eastAsia" w:ascii="黑体" w:hAnsi="黑体" w:eastAsia="黑体" w:cs="黑体"/>
            </w:rPr>
            <w:fldChar w:fldCharType="end"/>
          </w:r>
          <w:r>
            <w:rPr>
              <w:rFonts w:hint="eastAsia" w:ascii="黑体" w:hAnsi="黑体" w:eastAsia="黑体" w:cs="黑体"/>
            </w:rPr>
            <w:fldChar w:fldCharType="end"/>
          </w:r>
        </w:p>
        <w:p w14:paraId="669F19D2">
          <w:pPr>
            <w:pStyle w:val="5"/>
            <w:tabs>
              <w:tab w:val="right" w:leader="dot" w:pos="9026"/>
            </w:tabs>
            <w:spacing w:line="240" w:lineRule="auto"/>
            <w:ind w:left="960"/>
            <w:jc w:val="left"/>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_Toc22120 </w:instrText>
          </w:r>
          <w:r>
            <w:rPr>
              <w:rFonts w:hint="eastAsia" w:ascii="黑体" w:hAnsi="黑体" w:eastAsia="黑体" w:cs="黑体"/>
            </w:rPr>
            <w:fldChar w:fldCharType="separate"/>
          </w:r>
          <w:r>
            <w:rPr>
              <w:rFonts w:hint="eastAsia" w:ascii="黑体" w:hAnsi="黑体" w:eastAsia="黑体" w:cs="黑体"/>
            </w:rPr>
            <w:t>（二）与城市更新相关的空间重塑的规划需求</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_Toc22120 \h </w:instrText>
          </w:r>
          <w:r>
            <w:rPr>
              <w:rFonts w:hint="eastAsia" w:ascii="黑体" w:hAnsi="黑体" w:eastAsia="黑体" w:cs="黑体"/>
            </w:rPr>
            <w:fldChar w:fldCharType="separate"/>
          </w:r>
          <w:r>
            <w:rPr>
              <w:rFonts w:hint="eastAsia" w:ascii="黑体" w:hAnsi="黑体" w:eastAsia="黑体" w:cs="黑体"/>
            </w:rPr>
            <w:t>5</w:t>
          </w:r>
          <w:r>
            <w:rPr>
              <w:rFonts w:hint="eastAsia" w:ascii="黑体" w:hAnsi="黑体" w:eastAsia="黑体" w:cs="黑体"/>
            </w:rPr>
            <w:fldChar w:fldCharType="end"/>
          </w:r>
          <w:r>
            <w:rPr>
              <w:rFonts w:hint="eastAsia" w:ascii="黑体" w:hAnsi="黑体" w:eastAsia="黑体" w:cs="黑体"/>
            </w:rPr>
            <w:fldChar w:fldCharType="end"/>
          </w:r>
        </w:p>
        <w:p w14:paraId="669F19D3">
          <w:pPr>
            <w:pStyle w:val="5"/>
            <w:tabs>
              <w:tab w:val="right" w:leader="dot" w:pos="9026"/>
            </w:tabs>
            <w:spacing w:line="240" w:lineRule="auto"/>
            <w:ind w:left="960"/>
            <w:jc w:val="left"/>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_Toc14280 </w:instrText>
          </w:r>
          <w:r>
            <w:rPr>
              <w:rFonts w:hint="eastAsia" w:ascii="黑体" w:hAnsi="黑体" w:eastAsia="黑体" w:cs="黑体"/>
            </w:rPr>
            <w:fldChar w:fldCharType="separate"/>
          </w:r>
          <w:r>
            <w:rPr>
              <w:rFonts w:hint="eastAsia" w:ascii="黑体" w:hAnsi="黑体" w:eastAsia="黑体" w:cs="黑体"/>
            </w:rPr>
            <w:t>（三）城市更新项目的投融资与合同网络</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_Toc14280 \h </w:instrText>
          </w:r>
          <w:r>
            <w:rPr>
              <w:rFonts w:hint="eastAsia" w:ascii="黑体" w:hAnsi="黑体" w:eastAsia="黑体" w:cs="黑体"/>
            </w:rPr>
            <w:fldChar w:fldCharType="separate"/>
          </w:r>
          <w:r>
            <w:rPr>
              <w:rFonts w:hint="eastAsia" w:ascii="黑体" w:hAnsi="黑体" w:eastAsia="黑体" w:cs="黑体"/>
            </w:rPr>
            <w:t>6</w:t>
          </w:r>
          <w:r>
            <w:rPr>
              <w:rFonts w:hint="eastAsia" w:ascii="黑体" w:hAnsi="黑体" w:eastAsia="黑体" w:cs="黑体"/>
            </w:rPr>
            <w:fldChar w:fldCharType="end"/>
          </w:r>
          <w:r>
            <w:rPr>
              <w:rFonts w:hint="eastAsia" w:ascii="黑体" w:hAnsi="黑体" w:eastAsia="黑体" w:cs="黑体"/>
            </w:rPr>
            <w:fldChar w:fldCharType="end"/>
          </w:r>
        </w:p>
        <w:p w14:paraId="669F19D4">
          <w:pPr>
            <w:pStyle w:val="5"/>
            <w:tabs>
              <w:tab w:val="right" w:leader="dot" w:pos="9026"/>
            </w:tabs>
            <w:spacing w:line="240" w:lineRule="auto"/>
            <w:ind w:left="960"/>
            <w:jc w:val="left"/>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_Toc25373 </w:instrText>
          </w:r>
          <w:r>
            <w:rPr>
              <w:rFonts w:hint="eastAsia" w:ascii="黑体" w:hAnsi="黑体" w:eastAsia="黑体" w:cs="黑体"/>
            </w:rPr>
            <w:fldChar w:fldCharType="separate"/>
          </w:r>
          <w:r>
            <w:rPr>
              <w:rFonts w:hint="eastAsia" w:ascii="黑体" w:hAnsi="黑体" w:eastAsia="黑体" w:cs="黑体"/>
            </w:rPr>
            <w:t>（四）城市更新项目的权利归集与物权流转</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_Toc25373 \h </w:instrText>
          </w:r>
          <w:r>
            <w:rPr>
              <w:rFonts w:hint="eastAsia" w:ascii="黑体" w:hAnsi="黑体" w:eastAsia="黑体" w:cs="黑体"/>
            </w:rPr>
            <w:fldChar w:fldCharType="separate"/>
          </w:r>
          <w:r>
            <w:rPr>
              <w:rFonts w:hint="eastAsia" w:ascii="黑体" w:hAnsi="黑体" w:eastAsia="黑体" w:cs="黑体"/>
            </w:rPr>
            <w:t>7</w:t>
          </w:r>
          <w:r>
            <w:rPr>
              <w:rFonts w:hint="eastAsia" w:ascii="黑体" w:hAnsi="黑体" w:eastAsia="黑体" w:cs="黑体"/>
            </w:rPr>
            <w:fldChar w:fldCharType="end"/>
          </w:r>
          <w:r>
            <w:rPr>
              <w:rFonts w:hint="eastAsia" w:ascii="黑体" w:hAnsi="黑体" w:eastAsia="黑体" w:cs="黑体"/>
            </w:rPr>
            <w:fldChar w:fldCharType="end"/>
          </w:r>
        </w:p>
        <w:p w14:paraId="669F19D5">
          <w:pPr>
            <w:pStyle w:val="10"/>
            <w:tabs>
              <w:tab w:val="right" w:leader="dot" w:pos="9026"/>
            </w:tabs>
            <w:spacing w:line="240" w:lineRule="auto"/>
            <w:ind w:left="480"/>
            <w:jc w:val="left"/>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_Toc11058 </w:instrText>
          </w:r>
          <w:r>
            <w:rPr>
              <w:rFonts w:hint="eastAsia" w:ascii="黑体" w:hAnsi="黑体" w:eastAsia="黑体" w:cs="黑体"/>
            </w:rPr>
            <w:fldChar w:fldCharType="separate"/>
          </w:r>
          <w:r>
            <w:rPr>
              <w:rFonts w:hint="eastAsia" w:ascii="黑体" w:hAnsi="黑体" w:eastAsia="黑体" w:cs="黑体"/>
            </w:rPr>
            <w:t>二、现行城市更新法律制度的瓶颈</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_Toc11058 \h </w:instrText>
          </w:r>
          <w:r>
            <w:rPr>
              <w:rFonts w:hint="eastAsia" w:ascii="黑体" w:hAnsi="黑体" w:eastAsia="黑体" w:cs="黑体"/>
            </w:rPr>
            <w:fldChar w:fldCharType="separate"/>
          </w:r>
          <w:r>
            <w:rPr>
              <w:rFonts w:hint="eastAsia" w:ascii="黑体" w:hAnsi="黑体" w:eastAsia="黑体" w:cs="黑体"/>
            </w:rPr>
            <w:t>7</w:t>
          </w:r>
          <w:r>
            <w:rPr>
              <w:rFonts w:hint="eastAsia" w:ascii="黑体" w:hAnsi="黑体" w:eastAsia="黑体" w:cs="黑体"/>
            </w:rPr>
            <w:fldChar w:fldCharType="end"/>
          </w:r>
          <w:r>
            <w:rPr>
              <w:rFonts w:hint="eastAsia" w:ascii="黑体" w:hAnsi="黑体" w:eastAsia="黑体" w:cs="黑体"/>
            </w:rPr>
            <w:fldChar w:fldCharType="end"/>
          </w:r>
        </w:p>
        <w:p w14:paraId="669F19D6">
          <w:pPr>
            <w:pStyle w:val="5"/>
            <w:tabs>
              <w:tab w:val="right" w:leader="dot" w:pos="9026"/>
            </w:tabs>
            <w:spacing w:line="240" w:lineRule="auto"/>
            <w:ind w:left="960"/>
            <w:jc w:val="left"/>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_Toc2915 </w:instrText>
          </w:r>
          <w:r>
            <w:rPr>
              <w:rFonts w:hint="eastAsia" w:ascii="黑体" w:hAnsi="黑体" w:eastAsia="黑体" w:cs="黑体"/>
            </w:rPr>
            <w:fldChar w:fldCharType="separate"/>
          </w:r>
          <w:r>
            <w:rPr>
              <w:rFonts w:hint="eastAsia" w:ascii="黑体" w:hAnsi="黑体" w:eastAsia="黑体" w:cs="黑体"/>
            </w:rPr>
            <w:t>（一）《城乡规划法》的二维刚性与空间重塑的错位</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_Toc2915 \h </w:instrText>
          </w:r>
          <w:r>
            <w:rPr>
              <w:rFonts w:hint="eastAsia" w:ascii="黑体" w:hAnsi="黑体" w:eastAsia="黑体" w:cs="黑体"/>
            </w:rPr>
            <w:fldChar w:fldCharType="separate"/>
          </w:r>
          <w:r>
            <w:rPr>
              <w:rFonts w:hint="eastAsia" w:ascii="黑体" w:hAnsi="黑体" w:eastAsia="黑体" w:cs="黑体"/>
            </w:rPr>
            <w:t>8</w:t>
          </w:r>
          <w:r>
            <w:rPr>
              <w:rFonts w:hint="eastAsia" w:ascii="黑体" w:hAnsi="黑体" w:eastAsia="黑体" w:cs="黑体"/>
            </w:rPr>
            <w:fldChar w:fldCharType="end"/>
          </w:r>
          <w:r>
            <w:rPr>
              <w:rFonts w:hint="eastAsia" w:ascii="黑体" w:hAnsi="黑体" w:eastAsia="黑体" w:cs="黑体"/>
            </w:rPr>
            <w:fldChar w:fldCharType="end"/>
          </w:r>
        </w:p>
        <w:p w14:paraId="669F19D7">
          <w:pPr>
            <w:pStyle w:val="5"/>
            <w:tabs>
              <w:tab w:val="right" w:leader="dot" w:pos="9026"/>
            </w:tabs>
            <w:spacing w:line="240" w:lineRule="auto"/>
            <w:ind w:left="960"/>
            <w:jc w:val="left"/>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_Toc15733 </w:instrText>
          </w:r>
          <w:r>
            <w:rPr>
              <w:rFonts w:hint="eastAsia" w:ascii="黑体" w:hAnsi="黑体" w:eastAsia="黑体" w:cs="黑体"/>
            </w:rPr>
            <w:fldChar w:fldCharType="separate"/>
          </w:r>
          <w:r>
            <w:rPr>
              <w:rFonts w:hint="eastAsia" w:ascii="黑体" w:hAnsi="黑体" w:eastAsia="黑体" w:cs="黑体"/>
            </w:rPr>
            <w:t>（二）《土地管理法》的流转限制与供地模式冲突</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_Toc15733 \h </w:instrText>
          </w:r>
          <w:r>
            <w:rPr>
              <w:rFonts w:hint="eastAsia" w:ascii="黑体" w:hAnsi="黑体" w:eastAsia="黑体" w:cs="黑体"/>
            </w:rPr>
            <w:fldChar w:fldCharType="separate"/>
          </w:r>
          <w:r>
            <w:rPr>
              <w:rFonts w:hint="eastAsia" w:ascii="黑体" w:hAnsi="黑体" w:eastAsia="黑体" w:cs="黑体"/>
            </w:rPr>
            <w:t>8</w:t>
          </w:r>
          <w:r>
            <w:rPr>
              <w:rFonts w:hint="eastAsia" w:ascii="黑体" w:hAnsi="黑体" w:eastAsia="黑体" w:cs="黑体"/>
            </w:rPr>
            <w:fldChar w:fldCharType="end"/>
          </w:r>
          <w:r>
            <w:rPr>
              <w:rFonts w:hint="eastAsia" w:ascii="黑体" w:hAnsi="黑体" w:eastAsia="黑体" w:cs="黑体"/>
            </w:rPr>
            <w:fldChar w:fldCharType="end"/>
          </w:r>
        </w:p>
        <w:p w14:paraId="669F19D8">
          <w:pPr>
            <w:pStyle w:val="5"/>
            <w:tabs>
              <w:tab w:val="right" w:leader="dot" w:pos="9026"/>
            </w:tabs>
            <w:spacing w:line="240" w:lineRule="auto"/>
            <w:ind w:left="960"/>
            <w:jc w:val="left"/>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_Toc31614 </w:instrText>
          </w:r>
          <w:r>
            <w:rPr>
              <w:rFonts w:hint="eastAsia" w:ascii="黑体" w:hAnsi="黑体" w:eastAsia="黑体" w:cs="黑体"/>
            </w:rPr>
            <w:fldChar w:fldCharType="separate"/>
          </w:r>
          <w:r>
            <w:rPr>
              <w:rFonts w:hint="eastAsia" w:ascii="黑体" w:hAnsi="黑体" w:eastAsia="黑体" w:cs="黑体"/>
            </w:rPr>
            <w:t>（三）《民法典》物权绝对性与公共利益的平衡僵局</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_Toc31614 \h </w:instrText>
          </w:r>
          <w:r>
            <w:rPr>
              <w:rFonts w:hint="eastAsia" w:ascii="黑体" w:hAnsi="黑体" w:eastAsia="黑体" w:cs="黑体"/>
            </w:rPr>
            <w:fldChar w:fldCharType="separate"/>
          </w:r>
          <w:r>
            <w:rPr>
              <w:rFonts w:hint="eastAsia" w:ascii="黑体" w:hAnsi="黑体" w:eastAsia="黑体" w:cs="黑体"/>
            </w:rPr>
            <w:t>9</w:t>
          </w:r>
          <w:r>
            <w:rPr>
              <w:rFonts w:hint="eastAsia" w:ascii="黑体" w:hAnsi="黑体" w:eastAsia="黑体" w:cs="黑体"/>
            </w:rPr>
            <w:fldChar w:fldCharType="end"/>
          </w:r>
          <w:r>
            <w:rPr>
              <w:rFonts w:hint="eastAsia" w:ascii="黑体" w:hAnsi="黑体" w:eastAsia="黑体" w:cs="黑体"/>
            </w:rPr>
            <w:fldChar w:fldCharType="end"/>
          </w:r>
        </w:p>
        <w:p w14:paraId="669F19D9">
          <w:pPr>
            <w:pStyle w:val="5"/>
            <w:tabs>
              <w:tab w:val="right" w:leader="dot" w:pos="9026"/>
            </w:tabs>
            <w:spacing w:line="240" w:lineRule="auto"/>
            <w:ind w:left="960"/>
            <w:jc w:val="left"/>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_Toc8212 </w:instrText>
          </w:r>
          <w:r>
            <w:rPr>
              <w:rFonts w:hint="eastAsia" w:ascii="黑体" w:hAnsi="黑体" w:eastAsia="黑体" w:cs="黑体"/>
            </w:rPr>
            <w:fldChar w:fldCharType="separate"/>
          </w:r>
          <w:r>
            <w:rPr>
              <w:rFonts w:hint="eastAsia" w:ascii="黑体" w:hAnsi="黑体" w:eastAsia="黑体" w:cs="黑体"/>
            </w:rPr>
            <w:t>（四）财税制度的错配与高昂的交易摩擦成本</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_Toc8212 \h </w:instrText>
          </w:r>
          <w:r>
            <w:rPr>
              <w:rFonts w:hint="eastAsia" w:ascii="黑体" w:hAnsi="黑体" w:eastAsia="黑体" w:cs="黑体"/>
            </w:rPr>
            <w:fldChar w:fldCharType="separate"/>
          </w:r>
          <w:r>
            <w:rPr>
              <w:rFonts w:hint="eastAsia" w:ascii="黑体" w:hAnsi="黑体" w:eastAsia="黑体" w:cs="黑体"/>
            </w:rPr>
            <w:t>9</w:t>
          </w:r>
          <w:r>
            <w:rPr>
              <w:rFonts w:hint="eastAsia" w:ascii="黑体" w:hAnsi="黑体" w:eastAsia="黑体" w:cs="黑体"/>
            </w:rPr>
            <w:fldChar w:fldCharType="end"/>
          </w:r>
          <w:r>
            <w:rPr>
              <w:rFonts w:hint="eastAsia" w:ascii="黑体" w:hAnsi="黑体" w:eastAsia="黑体" w:cs="黑体"/>
            </w:rPr>
            <w:fldChar w:fldCharType="end"/>
          </w:r>
        </w:p>
        <w:p w14:paraId="669F19DA">
          <w:pPr>
            <w:pStyle w:val="10"/>
            <w:tabs>
              <w:tab w:val="right" w:leader="dot" w:pos="9026"/>
            </w:tabs>
            <w:spacing w:line="240" w:lineRule="auto"/>
            <w:ind w:left="480"/>
            <w:jc w:val="left"/>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_Toc17396 </w:instrText>
          </w:r>
          <w:r>
            <w:rPr>
              <w:rFonts w:hint="eastAsia" w:ascii="黑体" w:hAnsi="黑体" w:eastAsia="黑体" w:cs="黑体"/>
            </w:rPr>
            <w:fldChar w:fldCharType="separate"/>
          </w:r>
          <w:r>
            <w:rPr>
              <w:rFonts w:hint="eastAsia" w:ascii="黑体" w:hAnsi="黑体" w:eastAsia="黑体" w:cs="黑体"/>
            </w:rPr>
            <w:t>三、域外城市更新的法治经验与制度启示</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_Toc17396 \h </w:instrText>
          </w:r>
          <w:r>
            <w:rPr>
              <w:rFonts w:hint="eastAsia" w:ascii="黑体" w:hAnsi="黑体" w:eastAsia="黑体" w:cs="黑体"/>
            </w:rPr>
            <w:fldChar w:fldCharType="separate"/>
          </w:r>
          <w:r>
            <w:rPr>
              <w:rFonts w:hint="eastAsia" w:ascii="黑体" w:hAnsi="黑体" w:eastAsia="黑体" w:cs="黑体"/>
            </w:rPr>
            <w:t>10</w:t>
          </w:r>
          <w:r>
            <w:rPr>
              <w:rFonts w:hint="eastAsia" w:ascii="黑体" w:hAnsi="黑体" w:eastAsia="黑体" w:cs="黑体"/>
            </w:rPr>
            <w:fldChar w:fldCharType="end"/>
          </w:r>
          <w:r>
            <w:rPr>
              <w:rFonts w:hint="eastAsia" w:ascii="黑体" w:hAnsi="黑体" w:eastAsia="黑体" w:cs="黑体"/>
            </w:rPr>
            <w:fldChar w:fldCharType="end"/>
          </w:r>
        </w:p>
        <w:p w14:paraId="669F19DB">
          <w:pPr>
            <w:pStyle w:val="5"/>
            <w:tabs>
              <w:tab w:val="right" w:leader="dot" w:pos="9026"/>
            </w:tabs>
            <w:spacing w:line="240" w:lineRule="auto"/>
            <w:ind w:left="960"/>
            <w:jc w:val="left"/>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_Toc23136 </w:instrText>
          </w:r>
          <w:r>
            <w:rPr>
              <w:rFonts w:hint="eastAsia" w:ascii="黑体" w:hAnsi="黑体" w:eastAsia="黑体" w:cs="黑体"/>
            </w:rPr>
            <w:fldChar w:fldCharType="separate"/>
          </w:r>
          <w:r>
            <w:rPr>
              <w:rFonts w:hint="eastAsia" w:ascii="黑体" w:hAnsi="黑体" w:eastAsia="黑体" w:cs="黑体"/>
            </w:rPr>
            <w:t>（一）破解二维规划刚性：从“区划调整”到“特区激励”的空间重塑</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_Toc23136 \h </w:instrText>
          </w:r>
          <w:r>
            <w:rPr>
              <w:rFonts w:hint="eastAsia" w:ascii="黑体" w:hAnsi="黑体" w:eastAsia="黑体" w:cs="黑体"/>
            </w:rPr>
            <w:fldChar w:fldCharType="separate"/>
          </w:r>
          <w:r>
            <w:rPr>
              <w:rFonts w:hint="eastAsia" w:ascii="黑体" w:hAnsi="黑体" w:eastAsia="黑体" w:cs="黑体"/>
            </w:rPr>
            <w:t>10</w:t>
          </w:r>
          <w:r>
            <w:rPr>
              <w:rFonts w:hint="eastAsia" w:ascii="黑体" w:hAnsi="黑体" w:eastAsia="黑体" w:cs="黑体"/>
            </w:rPr>
            <w:fldChar w:fldCharType="end"/>
          </w:r>
          <w:r>
            <w:rPr>
              <w:rFonts w:hint="eastAsia" w:ascii="黑体" w:hAnsi="黑体" w:eastAsia="黑体" w:cs="黑体"/>
            </w:rPr>
            <w:fldChar w:fldCharType="end"/>
          </w:r>
        </w:p>
        <w:p w14:paraId="669F19DC">
          <w:pPr>
            <w:pStyle w:val="5"/>
            <w:tabs>
              <w:tab w:val="right" w:leader="dot" w:pos="9026"/>
            </w:tabs>
            <w:spacing w:line="240" w:lineRule="auto"/>
            <w:ind w:left="960"/>
            <w:jc w:val="left"/>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_Toc11299 </w:instrText>
          </w:r>
          <w:r>
            <w:rPr>
              <w:rFonts w:hint="eastAsia" w:ascii="黑体" w:hAnsi="黑体" w:eastAsia="黑体" w:cs="黑体"/>
            </w:rPr>
            <w:fldChar w:fldCharType="separate"/>
          </w:r>
          <w:r>
            <w:rPr>
              <w:rFonts w:hint="eastAsia" w:ascii="黑体" w:hAnsi="黑体" w:eastAsia="黑体" w:cs="黑体"/>
            </w:rPr>
            <w:t>（二）破解供地流转限制：以“权利变换”为核心的产权置换</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_Toc11299 \h </w:instrText>
          </w:r>
          <w:r>
            <w:rPr>
              <w:rFonts w:hint="eastAsia" w:ascii="黑体" w:hAnsi="黑体" w:eastAsia="黑体" w:cs="黑体"/>
            </w:rPr>
            <w:fldChar w:fldCharType="separate"/>
          </w:r>
          <w:r>
            <w:rPr>
              <w:rFonts w:hint="eastAsia" w:ascii="黑体" w:hAnsi="黑体" w:eastAsia="黑体" w:cs="黑体"/>
            </w:rPr>
            <w:t>12</w:t>
          </w:r>
          <w:r>
            <w:rPr>
              <w:rFonts w:hint="eastAsia" w:ascii="黑体" w:hAnsi="黑体" w:eastAsia="黑体" w:cs="黑体"/>
            </w:rPr>
            <w:fldChar w:fldCharType="end"/>
          </w:r>
          <w:r>
            <w:rPr>
              <w:rFonts w:hint="eastAsia" w:ascii="黑体" w:hAnsi="黑体" w:eastAsia="黑体" w:cs="黑体"/>
            </w:rPr>
            <w:fldChar w:fldCharType="end"/>
          </w:r>
        </w:p>
        <w:p w14:paraId="669F19DD">
          <w:pPr>
            <w:pStyle w:val="5"/>
            <w:tabs>
              <w:tab w:val="right" w:leader="dot" w:pos="9026"/>
            </w:tabs>
            <w:spacing w:line="240" w:lineRule="auto"/>
            <w:ind w:left="960"/>
            <w:jc w:val="left"/>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_Toc26160 </w:instrText>
          </w:r>
          <w:r>
            <w:rPr>
              <w:rFonts w:hint="eastAsia" w:ascii="黑体" w:hAnsi="黑体" w:eastAsia="黑体" w:cs="黑体"/>
            </w:rPr>
            <w:fldChar w:fldCharType="separate"/>
          </w:r>
          <w:r>
            <w:rPr>
              <w:rFonts w:hint="eastAsia" w:ascii="黑体" w:hAnsi="黑体" w:eastAsia="黑体" w:cs="黑体"/>
            </w:rPr>
            <w:t>（三）破解物权绝对性僵局：法定程序保障下的利益协调</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_Toc26160 \h </w:instrText>
          </w:r>
          <w:r>
            <w:rPr>
              <w:rFonts w:hint="eastAsia" w:ascii="黑体" w:hAnsi="黑体" w:eastAsia="黑体" w:cs="黑体"/>
            </w:rPr>
            <w:fldChar w:fldCharType="separate"/>
          </w:r>
          <w:r>
            <w:rPr>
              <w:rFonts w:hint="eastAsia" w:ascii="黑体" w:hAnsi="黑体" w:eastAsia="黑体" w:cs="黑体"/>
            </w:rPr>
            <w:t>12</w:t>
          </w:r>
          <w:r>
            <w:rPr>
              <w:rFonts w:hint="eastAsia" w:ascii="黑体" w:hAnsi="黑体" w:eastAsia="黑体" w:cs="黑体"/>
            </w:rPr>
            <w:fldChar w:fldCharType="end"/>
          </w:r>
          <w:r>
            <w:rPr>
              <w:rFonts w:hint="eastAsia" w:ascii="黑体" w:hAnsi="黑体" w:eastAsia="黑体" w:cs="黑体"/>
            </w:rPr>
            <w:fldChar w:fldCharType="end"/>
          </w:r>
        </w:p>
        <w:p w14:paraId="669F19DE">
          <w:pPr>
            <w:pStyle w:val="5"/>
            <w:tabs>
              <w:tab w:val="right" w:leader="dot" w:pos="9026"/>
            </w:tabs>
            <w:spacing w:line="240" w:lineRule="auto"/>
            <w:ind w:left="960"/>
            <w:jc w:val="left"/>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_Toc7867 </w:instrText>
          </w:r>
          <w:r>
            <w:rPr>
              <w:rFonts w:hint="eastAsia" w:ascii="黑体" w:hAnsi="黑体" w:eastAsia="黑体" w:cs="黑体"/>
            </w:rPr>
            <w:fldChar w:fldCharType="separate"/>
          </w:r>
          <w:r>
            <w:rPr>
              <w:rFonts w:hint="eastAsia" w:ascii="黑体" w:hAnsi="黑体" w:eastAsia="黑体" w:cs="黑体"/>
            </w:rPr>
            <w:t>（四）破解财税错配与交易成本：专门的金融与税收特例</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_Toc7867 \h </w:instrText>
          </w:r>
          <w:r>
            <w:rPr>
              <w:rFonts w:hint="eastAsia" w:ascii="黑体" w:hAnsi="黑体" w:eastAsia="黑体" w:cs="黑体"/>
            </w:rPr>
            <w:fldChar w:fldCharType="separate"/>
          </w:r>
          <w:r>
            <w:rPr>
              <w:rFonts w:hint="eastAsia" w:ascii="黑体" w:hAnsi="黑体" w:eastAsia="黑体" w:cs="黑体"/>
            </w:rPr>
            <w:t>13</w:t>
          </w:r>
          <w:r>
            <w:rPr>
              <w:rFonts w:hint="eastAsia" w:ascii="黑体" w:hAnsi="黑体" w:eastAsia="黑体" w:cs="黑体"/>
            </w:rPr>
            <w:fldChar w:fldCharType="end"/>
          </w:r>
          <w:r>
            <w:rPr>
              <w:rFonts w:hint="eastAsia" w:ascii="黑体" w:hAnsi="黑体" w:eastAsia="黑体" w:cs="黑体"/>
            </w:rPr>
            <w:fldChar w:fldCharType="end"/>
          </w:r>
        </w:p>
        <w:p w14:paraId="669F19DF">
          <w:pPr>
            <w:pStyle w:val="10"/>
            <w:tabs>
              <w:tab w:val="right" w:leader="dot" w:pos="9026"/>
            </w:tabs>
            <w:spacing w:line="240" w:lineRule="auto"/>
            <w:ind w:left="480"/>
            <w:jc w:val="left"/>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_Toc8953 </w:instrText>
          </w:r>
          <w:r>
            <w:rPr>
              <w:rFonts w:hint="eastAsia" w:ascii="黑体" w:hAnsi="黑体" w:eastAsia="黑体" w:cs="黑体"/>
            </w:rPr>
            <w:fldChar w:fldCharType="separate"/>
          </w:r>
          <w:r>
            <w:rPr>
              <w:rFonts w:hint="eastAsia" w:ascii="黑体" w:hAnsi="黑体" w:eastAsia="黑体" w:cs="黑体"/>
            </w:rPr>
            <w:t>四、中日典型城市更新项目的剖析与审视</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_Toc8953 \h </w:instrText>
          </w:r>
          <w:r>
            <w:rPr>
              <w:rFonts w:hint="eastAsia" w:ascii="黑体" w:hAnsi="黑体" w:eastAsia="黑体" w:cs="黑体"/>
            </w:rPr>
            <w:fldChar w:fldCharType="separate"/>
          </w:r>
          <w:r>
            <w:rPr>
              <w:rFonts w:hint="eastAsia" w:ascii="黑体" w:hAnsi="黑体" w:eastAsia="黑体" w:cs="黑体"/>
            </w:rPr>
            <w:t>14</w:t>
          </w:r>
          <w:r>
            <w:rPr>
              <w:rFonts w:hint="eastAsia" w:ascii="黑体" w:hAnsi="黑体" w:eastAsia="黑体" w:cs="黑体"/>
            </w:rPr>
            <w:fldChar w:fldCharType="end"/>
          </w:r>
          <w:r>
            <w:rPr>
              <w:rFonts w:hint="eastAsia" w:ascii="黑体" w:hAnsi="黑体" w:eastAsia="黑体" w:cs="黑体"/>
            </w:rPr>
            <w:fldChar w:fldCharType="end"/>
          </w:r>
        </w:p>
        <w:p w14:paraId="669F19E0">
          <w:pPr>
            <w:pStyle w:val="5"/>
            <w:tabs>
              <w:tab w:val="right" w:leader="dot" w:pos="9026"/>
            </w:tabs>
            <w:spacing w:line="240" w:lineRule="auto"/>
            <w:ind w:left="960"/>
            <w:jc w:val="left"/>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_Toc9932 </w:instrText>
          </w:r>
          <w:r>
            <w:rPr>
              <w:rFonts w:hint="eastAsia" w:ascii="黑体" w:hAnsi="黑体" w:eastAsia="黑体" w:cs="黑体"/>
            </w:rPr>
            <w:fldChar w:fldCharType="separate"/>
          </w:r>
          <w:r>
            <w:rPr>
              <w:rFonts w:hint="eastAsia" w:ascii="黑体" w:hAnsi="黑体" w:eastAsia="黑体" w:cs="黑体"/>
            </w:rPr>
            <w:t>（一）日本都市再生的代表：东京六本木之丘项目</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_Toc9932 \h </w:instrText>
          </w:r>
          <w:r>
            <w:rPr>
              <w:rFonts w:hint="eastAsia" w:ascii="黑体" w:hAnsi="黑体" w:eastAsia="黑体" w:cs="黑体"/>
            </w:rPr>
            <w:fldChar w:fldCharType="separate"/>
          </w:r>
          <w:r>
            <w:rPr>
              <w:rFonts w:hint="eastAsia" w:ascii="黑体" w:hAnsi="黑体" w:eastAsia="黑体" w:cs="黑体"/>
            </w:rPr>
            <w:t>14</w:t>
          </w:r>
          <w:r>
            <w:rPr>
              <w:rFonts w:hint="eastAsia" w:ascii="黑体" w:hAnsi="黑体" w:eastAsia="黑体" w:cs="黑体"/>
            </w:rPr>
            <w:fldChar w:fldCharType="end"/>
          </w:r>
          <w:r>
            <w:rPr>
              <w:rFonts w:hint="eastAsia" w:ascii="黑体" w:hAnsi="黑体" w:eastAsia="黑体" w:cs="黑体"/>
            </w:rPr>
            <w:fldChar w:fldCharType="end"/>
          </w:r>
        </w:p>
        <w:p w14:paraId="669F19E1">
          <w:pPr>
            <w:pStyle w:val="5"/>
            <w:tabs>
              <w:tab w:val="right" w:leader="dot" w:pos="9026"/>
            </w:tabs>
            <w:spacing w:line="240" w:lineRule="auto"/>
            <w:ind w:left="960"/>
            <w:jc w:val="left"/>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_Toc23322 </w:instrText>
          </w:r>
          <w:r>
            <w:rPr>
              <w:rFonts w:hint="eastAsia" w:ascii="黑体" w:hAnsi="黑体" w:eastAsia="黑体" w:cs="黑体"/>
            </w:rPr>
            <w:fldChar w:fldCharType="separate"/>
          </w:r>
          <w:r>
            <w:rPr>
              <w:rFonts w:hint="eastAsia" w:ascii="黑体" w:hAnsi="黑体" w:eastAsia="黑体" w:cs="黑体"/>
            </w:rPr>
            <w:t>（二）中国“自主更新”的积极探索：杭州浙工新村项目</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_Toc23322 \h </w:instrText>
          </w:r>
          <w:r>
            <w:rPr>
              <w:rFonts w:hint="eastAsia" w:ascii="黑体" w:hAnsi="黑体" w:eastAsia="黑体" w:cs="黑体"/>
            </w:rPr>
            <w:fldChar w:fldCharType="separate"/>
          </w:r>
          <w:r>
            <w:rPr>
              <w:rFonts w:hint="eastAsia" w:ascii="黑体" w:hAnsi="黑体" w:eastAsia="黑体" w:cs="黑体"/>
            </w:rPr>
            <w:t>15</w:t>
          </w:r>
          <w:r>
            <w:rPr>
              <w:rFonts w:hint="eastAsia" w:ascii="黑体" w:hAnsi="黑体" w:eastAsia="黑体" w:cs="黑体"/>
            </w:rPr>
            <w:fldChar w:fldCharType="end"/>
          </w:r>
          <w:r>
            <w:rPr>
              <w:rFonts w:hint="eastAsia" w:ascii="黑体" w:hAnsi="黑体" w:eastAsia="黑体" w:cs="黑体"/>
            </w:rPr>
            <w:fldChar w:fldCharType="end"/>
          </w:r>
        </w:p>
        <w:p w14:paraId="669F19E2">
          <w:pPr>
            <w:pStyle w:val="10"/>
            <w:tabs>
              <w:tab w:val="right" w:leader="dot" w:pos="9026"/>
            </w:tabs>
            <w:spacing w:line="240" w:lineRule="auto"/>
            <w:ind w:left="480"/>
            <w:jc w:val="left"/>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_Toc27275 </w:instrText>
          </w:r>
          <w:r>
            <w:rPr>
              <w:rFonts w:hint="eastAsia" w:ascii="黑体" w:hAnsi="黑体" w:eastAsia="黑体" w:cs="黑体"/>
            </w:rPr>
            <w:fldChar w:fldCharType="separate"/>
          </w:r>
          <w:r>
            <w:rPr>
              <w:rFonts w:hint="eastAsia" w:ascii="黑体" w:hAnsi="黑体" w:eastAsia="黑体" w:cs="黑体"/>
            </w:rPr>
            <w:t>五、完善我国城市更新法律制度的对策与建议</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_Toc27275 \h </w:instrText>
          </w:r>
          <w:r>
            <w:rPr>
              <w:rFonts w:hint="eastAsia" w:ascii="黑体" w:hAnsi="黑体" w:eastAsia="黑体" w:cs="黑体"/>
            </w:rPr>
            <w:fldChar w:fldCharType="separate"/>
          </w:r>
          <w:r>
            <w:rPr>
              <w:rFonts w:hint="eastAsia" w:ascii="黑体" w:hAnsi="黑体" w:eastAsia="黑体" w:cs="黑体"/>
            </w:rPr>
            <w:t>17</w:t>
          </w:r>
          <w:r>
            <w:rPr>
              <w:rFonts w:hint="eastAsia" w:ascii="黑体" w:hAnsi="黑体" w:eastAsia="黑体" w:cs="黑体"/>
            </w:rPr>
            <w:fldChar w:fldCharType="end"/>
          </w:r>
          <w:r>
            <w:rPr>
              <w:rFonts w:hint="eastAsia" w:ascii="黑体" w:hAnsi="黑体" w:eastAsia="黑体" w:cs="黑体"/>
            </w:rPr>
            <w:fldChar w:fldCharType="end"/>
          </w:r>
        </w:p>
        <w:p w14:paraId="669F19E3">
          <w:pPr>
            <w:pStyle w:val="5"/>
            <w:tabs>
              <w:tab w:val="right" w:leader="dot" w:pos="9026"/>
            </w:tabs>
            <w:spacing w:line="240" w:lineRule="auto"/>
            <w:ind w:left="960"/>
            <w:jc w:val="left"/>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_Toc13338 </w:instrText>
          </w:r>
          <w:r>
            <w:rPr>
              <w:rFonts w:hint="eastAsia" w:ascii="黑体" w:hAnsi="黑体" w:eastAsia="黑体" w:cs="黑体"/>
            </w:rPr>
            <w:fldChar w:fldCharType="separate"/>
          </w:r>
          <w:r>
            <w:rPr>
              <w:rFonts w:hint="eastAsia" w:ascii="黑体" w:hAnsi="黑体" w:eastAsia="黑体" w:cs="黑体"/>
            </w:rPr>
            <w:t>（一）顶层设计：确立“有效提升与弹性代偿”双核心原则</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_Toc13338 \h </w:instrText>
          </w:r>
          <w:r>
            <w:rPr>
              <w:rFonts w:hint="eastAsia" w:ascii="黑体" w:hAnsi="黑体" w:eastAsia="黑体" w:cs="黑体"/>
            </w:rPr>
            <w:fldChar w:fldCharType="separate"/>
          </w:r>
          <w:r>
            <w:rPr>
              <w:rFonts w:hint="eastAsia" w:ascii="黑体" w:hAnsi="黑体" w:eastAsia="黑体" w:cs="黑体"/>
            </w:rPr>
            <w:t>17</w:t>
          </w:r>
          <w:r>
            <w:rPr>
              <w:rFonts w:hint="eastAsia" w:ascii="黑体" w:hAnsi="黑体" w:eastAsia="黑体" w:cs="黑体"/>
            </w:rPr>
            <w:fldChar w:fldCharType="end"/>
          </w:r>
          <w:r>
            <w:rPr>
              <w:rFonts w:hint="eastAsia" w:ascii="黑体" w:hAnsi="黑体" w:eastAsia="黑体" w:cs="黑体"/>
            </w:rPr>
            <w:fldChar w:fldCharType="end"/>
          </w:r>
        </w:p>
        <w:p w14:paraId="669F19E4">
          <w:pPr>
            <w:pStyle w:val="5"/>
            <w:tabs>
              <w:tab w:val="right" w:leader="dot" w:pos="9026"/>
            </w:tabs>
            <w:spacing w:line="240" w:lineRule="auto"/>
            <w:ind w:left="960"/>
            <w:jc w:val="left"/>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_Toc14587 </w:instrText>
          </w:r>
          <w:r>
            <w:rPr>
              <w:rFonts w:hint="eastAsia" w:ascii="黑体" w:hAnsi="黑体" w:eastAsia="黑体" w:cs="黑体"/>
            </w:rPr>
            <w:fldChar w:fldCharType="separate"/>
          </w:r>
          <w:r>
            <w:rPr>
              <w:rFonts w:hint="eastAsia" w:ascii="黑体" w:hAnsi="黑体" w:eastAsia="黑体" w:cs="黑体"/>
            </w:rPr>
            <w:t>（二）制度破局：建立法定的“强制解围”与多元推进机制</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_Toc14587 \h </w:instrText>
          </w:r>
          <w:r>
            <w:rPr>
              <w:rFonts w:hint="eastAsia" w:ascii="黑体" w:hAnsi="黑体" w:eastAsia="黑体" w:cs="黑体"/>
            </w:rPr>
            <w:fldChar w:fldCharType="separate"/>
          </w:r>
          <w:r>
            <w:rPr>
              <w:rFonts w:hint="eastAsia" w:ascii="黑体" w:hAnsi="黑体" w:eastAsia="黑体" w:cs="黑体"/>
            </w:rPr>
            <w:t>18</w:t>
          </w:r>
          <w:r>
            <w:rPr>
              <w:rFonts w:hint="eastAsia" w:ascii="黑体" w:hAnsi="黑体" w:eastAsia="黑体" w:cs="黑体"/>
            </w:rPr>
            <w:fldChar w:fldCharType="end"/>
          </w:r>
          <w:r>
            <w:rPr>
              <w:rFonts w:hint="eastAsia" w:ascii="黑体" w:hAnsi="黑体" w:eastAsia="黑体" w:cs="黑体"/>
            </w:rPr>
            <w:fldChar w:fldCharType="end"/>
          </w:r>
        </w:p>
        <w:p w14:paraId="669F19E5">
          <w:pPr>
            <w:pStyle w:val="5"/>
            <w:tabs>
              <w:tab w:val="right" w:leader="dot" w:pos="9026"/>
            </w:tabs>
            <w:spacing w:line="240" w:lineRule="auto"/>
            <w:ind w:left="960"/>
            <w:jc w:val="left"/>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_Toc27164 </w:instrText>
          </w:r>
          <w:r>
            <w:rPr>
              <w:rFonts w:hint="eastAsia" w:ascii="黑体" w:hAnsi="黑体" w:eastAsia="黑体" w:cs="黑体"/>
            </w:rPr>
            <w:fldChar w:fldCharType="separate"/>
          </w:r>
          <w:r>
            <w:rPr>
              <w:rFonts w:hint="eastAsia" w:ascii="黑体" w:hAnsi="黑体" w:eastAsia="黑体" w:cs="黑体"/>
            </w:rPr>
            <w:t>（三）产权流转：考虑筹建“住房银行”</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_Toc27164 \h </w:instrText>
          </w:r>
          <w:r>
            <w:rPr>
              <w:rFonts w:hint="eastAsia" w:ascii="黑体" w:hAnsi="黑体" w:eastAsia="黑体" w:cs="黑体"/>
            </w:rPr>
            <w:fldChar w:fldCharType="separate"/>
          </w:r>
          <w:r>
            <w:rPr>
              <w:rFonts w:hint="eastAsia" w:ascii="黑体" w:hAnsi="黑体" w:eastAsia="黑体" w:cs="黑体"/>
            </w:rPr>
            <w:t>19</w:t>
          </w:r>
          <w:r>
            <w:rPr>
              <w:rFonts w:hint="eastAsia" w:ascii="黑体" w:hAnsi="黑体" w:eastAsia="黑体" w:cs="黑体"/>
            </w:rPr>
            <w:fldChar w:fldCharType="end"/>
          </w:r>
          <w:r>
            <w:rPr>
              <w:rFonts w:hint="eastAsia" w:ascii="黑体" w:hAnsi="黑体" w:eastAsia="黑体" w:cs="黑体"/>
            </w:rPr>
            <w:fldChar w:fldCharType="end"/>
          </w:r>
        </w:p>
        <w:p w14:paraId="669F19E6">
          <w:pPr>
            <w:pStyle w:val="5"/>
            <w:tabs>
              <w:tab w:val="right" w:leader="dot" w:pos="9026"/>
            </w:tabs>
            <w:spacing w:line="240" w:lineRule="auto"/>
            <w:ind w:left="960"/>
            <w:jc w:val="left"/>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_Toc10779 </w:instrText>
          </w:r>
          <w:r>
            <w:rPr>
              <w:rFonts w:hint="eastAsia" w:ascii="黑体" w:hAnsi="黑体" w:eastAsia="黑体" w:cs="黑体"/>
            </w:rPr>
            <w:fldChar w:fldCharType="separate"/>
          </w:r>
          <w:r>
            <w:rPr>
              <w:rFonts w:hint="eastAsia" w:ascii="黑体" w:hAnsi="黑体" w:eastAsia="黑体" w:cs="黑体"/>
            </w:rPr>
            <w:t>（四）财税护航：构建适应存量重组的降本减负与金融支持体系</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_Toc10779 \h </w:instrText>
          </w:r>
          <w:r>
            <w:rPr>
              <w:rFonts w:hint="eastAsia" w:ascii="黑体" w:hAnsi="黑体" w:eastAsia="黑体" w:cs="黑体"/>
            </w:rPr>
            <w:fldChar w:fldCharType="separate"/>
          </w:r>
          <w:r>
            <w:rPr>
              <w:rFonts w:hint="eastAsia" w:ascii="黑体" w:hAnsi="黑体" w:eastAsia="黑体" w:cs="黑体"/>
            </w:rPr>
            <w:t>19</w:t>
          </w:r>
          <w:r>
            <w:rPr>
              <w:rFonts w:hint="eastAsia" w:ascii="黑体" w:hAnsi="黑体" w:eastAsia="黑体" w:cs="黑体"/>
            </w:rPr>
            <w:fldChar w:fldCharType="end"/>
          </w:r>
          <w:r>
            <w:rPr>
              <w:rFonts w:hint="eastAsia" w:ascii="黑体" w:hAnsi="黑体" w:eastAsia="黑体" w:cs="黑体"/>
            </w:rPr>
            <w:fldChar w:fldCharType="end"/>
          </w:r>
        </w:p>
        <w:p w14:paraId="669F19E7">
          <w:pPr>
            <w:pStyle w:val="10"/>
            <w:tabs>
              <w:tab w:val="right" w:leader="dot" w:pos="9026"/>
            </w:tabs>
            <w:spacing w:line="240" w:lineRule="auto"/>
            <w:ind w:left="0" w:leftChars="0" w:firstLine="0"/>
            <w:jc w:val="left"/>
          </w:pPr>
          <w:r>
            <w:rPr>
              <w:rFonts w:hint="eastAsia" w:ascii="黑体" w:hAnsi="黑体" w:eastAsia="黑体" w:cs="黑体"/>
            </w:rPr>
            <w:t xml:space="preserve">        </w:t>
          </w:r>
          <w:r>
            <w:rPr>
              <w:rFonts w:hint="eastAsia" w:ascii="黑体" w:hAnsi="黑体" w:eastAsia="黑体" w:cs="黑体"/>
            </w:rPr>
            <w:fldChar w:fldCharType="begin"/>
          </w:r>
          <w:r>
            <w:rPr>
              <w:rFonts w:hint="eastAsia" w:ascii="黑体" w:hAnsi="黑体" w:eastAsia="黑体" w:cs="黑体"/>
            </w:rPr>
            <w:instrText xml:space="preserve"> HYPERLINK \l _Toc30697 </w:instrText>
          </w:r>
          <w:r>
            <w:rPr>
              <w:rFonts w:hint="eastAsia" w:ascii="黑体" w:hAnsi="黑体" w:eastAsia="黑体" w:cs="黑体"/>
            </w:rPr>
            <w:fldChar w:fldCharType="separate"/>
          </w:r>
          <w:r>
            <w:rPr>
              <w:rFonts w:hint="eastAsia" w:ascii="黑体" w:hAnsi="黑体" w:eastAsia="黑体" w:cs="黑体"/>
            </w:rPr>
            <w:t>结语</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_Toc30697 \h </w:instrText>
          </w:r>
          <w:r>
            <w:rPr>
              <w:rFonts w:hint="eastAsia" w:ascii="黑体" w:hAnsi="黑体" w:eastAsia="黑体" w:cs="黑体"/>
            </w:rPr>
            <w:fldChar w:fldCharType="separate"/>
          </w:r>
          <w:r>
            <w:rPr>
              <w:rFonts w:hint="eastAsia" w:ascii="黑体" w:hAnsi="黑体" w:eastAsia="黑体" w:cs="黑体"/>
            </w:rPr>
            <w:t>20</w:t>
          </w:r>
          <w:r>
            <w:rPr>
              <w:rFonts w:hint="eastAsia" w:ascii="黑体" w:hAnsi="黑体" w:eastAsia="黑体" w:cs="黑体"/>
            </w:rPr>
            <w:fldChar w:fldCharType="end"/>
          </w:r>
          <w:r>
            <w:rPr>
              <w:rFonts w:hint="eastAsia" w:ascii="黑体" w:hAnsi="黑体" w:eastAsia="黑体" w:cs="黑体"/>
            </w:rPr>
            <w:fldChar w:fldCharType="end"/>
          </w:r>
        </w:p>
        <w:p w14:paraId="669F19E8">
          <w:pPr>
            <w:pStyle w:val="3"/>
            <w:jc w:val="center"/>
          </w:pPr>
          <w:r>
            <w:fldChar w:fldCharType="end"/>
          </w:r>
        </w:p>
      </w:sdtContent>
    </w:sdt>
    <w:p w14:paraId="669F19E9">
      <w:pPr>
        <w:pStyle w:val="3"/>
        <w:jc w:val="center"/>
        <w:sectPr>
          <w:headerReference r:id="rId11" w:type="default"/>
          <w:footerReference r:id="rId12" w:type="default"/>
          <w:pgSz w:w="11906" w:h="16838"/>
          <w:pgMar w:top="1440" w:right="1440" w:bottom="1440" w:left="1440" w:header="720" w:footer="720" w:gutter="0"/>
          <w:pgNumType w:start="1"/>
          <w:cols w:space="720" w:num="1"/>
        </w:sectPr>
      </w:pPr>
    </w:p>
    <w:p w14:paraId="669F19EA">
      <w:pPr>
        <w:pStyle w:val="3"/>
        <w:jc w:val="center"/>
      </w:pPr>
      <w:r>
        <w:rPr>
          <w:rFonts w:hint="eastAsia"/>
          <w:sz w:val="44"/>
          <w:szCs w:val="36"/>
        </w:rPr>
        <w:t>从“增量扩张”到“存量提质”</w:t>
      </w:r>
    </w:p>
    <w:p w14:paraId="669F19EB">
      <w:pPr>
        <w:pStyle w:val="3"/>
        <w:jc w:val="right"/>
        <w:rPr>
          <w:szCs w:val="28"/>
        </w:rPr>
      </w:pPr>
      <w:r>
        <w:rPr>
          <w:rFonts w:hint="eastAsia"/>
          <w:szCs w:val="28"/>
        </w:rPr>
        <w:t>——城市更新法律制度破局与重构</w:t>
      </w:r>
      <w:bookmarkEnd w:id="0"/>
      <w:bookmarkStart w:id="2" w:name="_Toc32463"/>
    </w:p>
    <w:p w14:paraId="669F19EC">
      <w:pPr>
        <w:pStyle w:val="3"/>
        <w:spacing w:line="360" w:lineRule="auto"/>
      </w:pPr>
    </w:p>
    <w:p w14:paraId="669F19ED">
      <w:pPr>
        <w:pStyle w:val="3"/>
        <w:spacing w:line="360" w:lineRule="auto"/>
      </w:pPr>
      <w:r>
        <w:rPr>
          <w:rFonts w:hint="eastAsia"/>
        </w:rPr>
        <w:t>绪论：城市更新的发展脉络、制度瓶颈与他山之石</w:t>
      </w:r>
      <w:bookmarkEnd w:id="2"/>
    </w:p>
    <w:p w14:paraId="669F19EE">
      <w:pPr>
        <w:ind w:firstLine="560" w:firstLineChars="200"/>
        <w:rPr>
          <w:rFonts w:eastAsiaTheme="minorEastAsia"/>
          <w:sz w:val="28"/>
          <w:szCs w:val="24"/>
        </w:rPr>
      </w:pPr>
      <w:r>
        <w:rPr>
          <w:rFonts w:hint="eastAsia" w:eastAsiaTheme="minorEastAsia"/>
          <w:sz w:val="28"/>
          <w:szCs w:val="24"/>
        </w:rPr>
        <w:t>2025年7月，中央城市工作会议胜利召开，习近平总书记在此次会议上深刻指出：“过去城市增量扩张时期形成的政策制度，很多已不适应形势发展需要，要以改革的思路调整优化”，总书记强调：要高质量开展城市更新，推进土地混合开发利用、用途合理转换，更要打破“重建设、轻治理”的传统思维，推动城市高质量更新、高水平运营、高效能治理。随后的政治局工作会议进一步细化了中央城市工作会议的精神，强调高质量落实城市更新工作。8月，中共中央、国务院印发《关于推动城市高质量发展的意见》，这些文件不仅为我国新时期城市发展与治理指明了方向，也为日后城市更新立法确立了主旨，即要以城市更新为抓手，推动城市从增量扩张转向存量提质，走内涵式、高质量的人民城市发展道路。</w:t>
      </w:r>
    </w:p>
    <w:p w14:paraId="669F19EF">
      <w:pPr>
        <w:pStyle w:val="4"/>
        <w:spacing w:line="360" w:lineRule="auto"/>
      </w:pPr>
      <w:bookmarkStart w:id="3" w:name="_Toc25587"/>
      <w:r>
        <w:rPr>
          <w:rFonts w:hint="eastAsia"/>
        </w:rPr>
        <w:t>（一）我国城市更新的制度演进与探索</w:t>
      </w:r>
      <w:bookmarkEnd w:id="3"/>
    </w:p>
    <w:p w14:paraId="669F19F0">
      <w:pPr>
        <w:ind w:firstLine="560" w:firstLineChars="200"/>
        <w:rPr>
          <w:sz w:val="28"/>
          <w:szCs w:val="24"/>
        </w:rPr>
      </w:pPr>
      <w:r>
        <w:rPr>
          <w:rFonts w:hint="eastAsia"/>
          <w:sz w:val="28"/>
          <w:szCs w:val="24"/>
        </w:rPr>
        <w:t>回顾改革开放以来的城市建设史，我国的城市更新始终与土地、财税、金融等底层制度的演变紧密交织。从20世纪90年代市场主导的大规模“毛地批租”旧城再开发，到21世纪初推行土地收储与“招拍挂”制度下政府主导的“净地”出让，再到近年来棚户区改造、PPP模式及老旧小区微更新的多元共治，城市更新的运作模式在“鼓励社会资本参与”与“防范地方隐性债务风险”之间不断调适。</w:t>
      </w:r>
    </w:p>
    <w:p w14:paraId="669F19F1">
      <w:pPr>
        <w:ind w:firstLine="560" w:firstLineChars="200"/>
        <w:rPr>
          <w:sz w:val="28"/>
          <w:szCs w:val="24"/>
        </w:rPr>
      </w:pPr>
      <w:r>
        <w:rPr>
          <w:rFonts w:hint="eastAsia"/>
          <w:sz w:val="28"/>
          <w:szCs w:val="24"/>
        </w:rPr>
        <w:t>在“防止大拆大建”、推进渐进式有机更新的总体导向下，国内核心城市纷纷开启了地方立法的先行探索。例如，2020年深圳颁布了《深圳经济特区城市更新条例》，以利益平衡机制为核心，通过容积率奖励等“政策松绑”手段激活市场主体动能；广州则确立了“1+3+N”政策框架，探索跨行政边界的片区策划与资源统筹。</w:t>
      </w:r>
    </w:p>
    <w:p w14:paraId="6E10B270">
      <w:pPr>
        <w:ind w:firstLine="562" w:firstLineChars="200"/>
        <w:jc w:val="center"/>
        <w:rPr>
          <w:rFonts w:eastAsia="楷体"/>
          <w:b/>
          <w:bCs/>
          <w:sz w:val="28"/>
          <w:szCs w:val="24"/>
        </w:rPr>
      </w:pPr>
      <w:r>
        <w:rPr>
          <w:rFonts w:hint="eastAsia" w:eastAsia="楷体"/>
          <w:b/>
          <w:bCs/>
          <w:sz w:val="28"/>
          <w:szCs w:val="24"/>
        </w:rPr>
        <w:t>表一：中国城市更新的发展阶段概述</w:t>
      </w:r>
    </w:p>
    <w:tbl>
      <w:tblPr>
        <w:tblStyle w:val="27"/>
        <w:tblW w:w="9747" w:type="dxa"/>
        <w:jc w:val="cente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autofit"/>
        <w:tblCellMar>
          <w:top w:w="0" w:type="dxa"/>
          <w:left w:w="108" w:type="dxa"/>
          <w:bottom w:w="0" w:type="dxa"/>
          <w:right w:w="108" w:type="dxa"/>
        </w:tblCellMar>
      </w:tblPr>
      <w:tblGrid>
        <w:gridCol w:w="1203"/>
        <w:gridCol w:w="2277"/>
        <w:gridCol w:w="3260"/>
        <w:gridCol w:w="3007"/>
      </w:tblGrid>
      <w:tr w14:paraId="348906C6">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trHeight w:val="955" w:hRule="atLeast"/>
          <w:jc w:val="center"/>
        </w:trPr>
        <w:tc>
          <w:tcPr>
            <w:tcW w:w="0" w:type="auto"/>
            <w:tcBorders>
              <w:top w:val="single" w:color="FFFFFF" w:themeColor="background1" w:sz="4" w:space="0"/>
              <w:left w:val="single" w:color="FFFFFF" w:themeColor="background1" w:sz="4" w:space="0"/>
              <w:right w:val="nil"/>
              <w:insideV w:val="nil"/>
            </w:tcBorders>
            <w:shd w:val="clear" w:color="auto" w:fill="4F81BD" w:themeFill="accent1"/>
            <w:vAlign w:val="bottom"/>
          </w:tcPr>
          <w:p w14:paraId="2110EA8D">
            <w:pPr>
              <w:snapToGrid w:val="0"/>
              <w:spacing w:after="200" w:line="360" w:lineRule="auto"/>
              <w:ind w:firstLine="0"/>
              <w:jc w:val="center"/>
              <w:textAlignment w:val="center"/>
              <w:rPr>
                <w:rFonts w:hint="eastAsia" w:ascii="黑体" w:hAnsi="黑体" w:eastAsia="楷体" w:cs="黑体"/>
                <w:b/>
                <w:bCs/>
                <w:snapToGrid w:val="0"/>
                <w:color w:val="1A202C"/>
                <w:sz w:val="24"/>
                <w:szCs w:val="24"/>
                <w:lang w:bidi="ar"/>
              </w:rPr>
            </w:pPr>
            <w:r>
              <w:rPr>
                <w:rFonts w:hint="eastAsia" w:ascii="黑体" w:hAnsi="黑体" w:eastAsia="楷体" w:cs="黑体"/>
                <w:b/>
                <w:bCs/>
                <w:snapToGrid w:val="0"/>
                <w:color w:val="1A202C"/>
                <w:sz w:val="24"/>
                <w:szCs w:val="24"/>
                <w:lang w:bidi="ar"/>
              </w:rPr>
              <w:t>阶段</w:t>
            </w:r>
          </w:p>
        </w:tc>
        <w:tc>
          <w:tcPr>
            <w:tcW w:w="2277" w:type="dxa"/>
            <w:tcBorders>
              <w:top w:val="single" w:color="FFFFFF" w:themeColor="background1" w:sz="4" w:space="0"/>
              <w:right w:val="nil"/>
              <w:insideV w:val="nil"/>
            </w:tcBorders>
            <w:shd w:val="clear" w:color="auto" w:fill="4F81BD" w:themeFill="accent1"/>
            <w:vAlign w:val="bottom"/>
          </w:tcPr>
          <w:p w14:paraId="2102E90F">
            <w:pPr>
              <w:snapToGrid w:val="0"/>
              <w:spacing w:after="200" w:line="360" w:lineRule="auto"/>
              <w:ind w:firstLine="0"/>
              <w:jc w:val="center"/>
              <w:textAlignment w:val="center"/>
              <w:rPr>
                <w:rFonts w:hint="eastAsia" w:ascii="黑体" w:hAnsi="黑体" w:eastAsia="楷体" w:cs="黑体"/>
                <w:b/>
                <w:bCs/>
                <w:snapToGrid w:val="0"/>
                <w:color w:val="1A202C"/>
                <w:sz w:val="24"/>
                <w:szCs w:val="24"/>
                <w:lang w:bidi="ar"/>
              </w:rPr>
            </w:pPr>
            <w:r>
              <w:rPr>
                <w:rFonts w:hint="eastAsia" w:ascii="黑体" w:hAnsi="黑体" w:eastAsia="楷体" w:cs="黑体"/>
                <w:b/>
                <w:bCs/>
                <w:snapToGrid w:val="0"/>
                <w:color w:val="1A202C"/>
                <w:sz w:val="24"/>
                <w:szCs w:val="24"/>
                <w:lang w:bidi="ar"/>
              </w:rPr>
              <w:t>特征</w:t>
            </w:r>
          </w:p>
        </w:tc>
        <w:tc>
          <w:tcPr>
            <w:tcW w:w="3260" w:type="dxa"/>
            <w:tcBorders>
              <w:top w:val="single" w:color="FFFFFF" w:themeColor="background1" w:sz="4" w:space="0"/>
              <w:right w:val="nil"/>
              <w:insideV w:val="nil"/>
            </w:tcBorders>
            <w:shd w:val="clear" w:color="auto" w:fill="4F81BD" w:themeFill="accent1"/>
            <w:vAlign w:val="bottom"/>
          </w:tcPr>
          <w:p w14:paraId="07B3A305">
            <w:pPr>
              <w:snapToGrid w:val="0"/>
              <w:spacing w:after="200" w:line="360" w:lineRule="auto"/>
              <w:ind w:firstLine="0"/>
              <w:jc w:val="center"/>
              <w:textAlignment w:val="center"/>
              <w:rPr>
                <w:rFonts w:hint="eastAsia" w:ascii="黑体" w:hAnsi="黑体" w:eastAsia="楷体" w:cs="黑体"/>
                <w:b/>
                <w:bCs/>
                <w:snapToGrid w:val="0"/>
                <w:color w:val="1A202C"/>
                <w:sz w:val="24"/>
                <w:szCs w:val="24"/>
                <w:lang w:bidi="ar"/>
              </w:rPr>
            </w:pPr>
            <w:r>
              <w:rPr>
                <w:rFonts w:hint="eastAsia" w:ascii="黑体" w:hAnsi="黑体" w:eastAsia="楷体" w:cs="黑体"/>
                <w:b/>
                <w:bCs/>
                <w:snapToGrid w:val="0"/>
                <w:color w:val="1A202C"/>
                <w:sz w:val="24"/>
                <w:szCs w:val="24"/>
                <w:lang w:bidi="ar"/>
              </w:rPr>
              <w:t>运作</w:t>
            </w:r>
            <w:r>
              <w:rPr>
                <w:rFonts w:hint="eastAsia" w:ascii="黑体" w:hAnsi="黑体" w:eastAsia="楷体" w:cs="黑体"/>
                <w:b/>
                <w:bCs/>
                <w:snapToGrid w:val="0"/>
                <w:color w:val="1A202C"/>
                <w:szCs w:val="24"/>
                <w:lang w:bidi="ar"/>
              </w:rPr>
              <w:t>模式</w:t>
            </w:r>
          </w:p>
        </w:tc>
        <w:tc>
          <w:tcPr>
            <w:tcW w:w="3007" w:type="dxa"/>
            <w:tcBorders>
              <w:top w:val="single" w:color="FFFFFF" w:themeColor="background1" w:sz="4" w:space="0"/>
              <w:right w:val="single" w:color="FFFFFF" w:themeColor="background1" w:sz="4" w:space="0"/>
              <w:insideV w:val="nil"/>
            </w:tcBorders>
            <w:shd w:val="clear" w:color="auto" w:fill="4F81BD" w:themeFill="accent1"/>
            <w:vAlign w:val="bottom"/>
          </w:tcPr>
          <w:p w14:paraId="11819DA2">
            <w:pPr>
              <w:snapToGrid w:val="0"/>
              <w:spacing w:after="200" w:line="360" w:lineRule="auto"/>
              <w:ind w:firstLine="0"/>
              <w:jc w:val="center"/>
              <w:textAlignment w:val="center"/>
              <w:rPr>
                <w:rFonts w:hint="eastAsia" w:ascii="黑体" w:hAnsi="黑体" w:eastAsia="楷体" w:cs="黑体"/>
                <w:b/>
                <w:bCs/>
                <w:snapToGrid w:val="0"/>
                <w:color w:val="1A202C"/>
                <w:sz w:val="24"/>
                <w:szCs w:val="24"/>
                <w:lang w:bidi="ar"/>
              </w:rPr>
            </w:pPr>
            <w:r>
              <w:rPr>
                <w:rFonts w:hint="eastAsia" w:ascii="黑体" w:hAnsi="黑体" w:eastAsia="楷体" w:cs="黑体"/>
                <w:b/>
                <w:bCs/>
                <w:snapToGrid w:val="0"/>
                <w:szCs w:val="24"/>
                <w:lang w:bidi="ar"/>
              </w:rPr>
              <w:t>典型特征与代表案例</w:t>
            </w:r>
          </w:p>
        </w:tc>
      </w:tr>
      <w:tr w14:paraId="381DBF78">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jc w:val="center"/>
        </w:trPr>
        <w:tc>
          <w:tcPr>
            <w:tcW w:w="0" w:type="auto"/>
            <w:tcBorders>
              <w:left w:val="single" w:color="FFFFFF" w:themeColor="background1" w:sz="4" w:space="0"/>
            </w:tcBorders>
            <w:shd w:val="clear" w:color="auto" w:fill="4F81BD" w:themeFill="accent1"/>
            <w:vAlign w:val="center"/>
          </w:tcPr>
          <w:p w14:paraId="07D5B93E">
            <w:pPr>
              <w:snapToGrid w:val="0"/>
              <w:spacing w:after="200" w:line="360" w:lineRule="auto"/>
              <w:ind w:firstLine="0"/>
              <w:jc w:val="center"/>
              <w:textAlignment w:val="center"/>
              <w:rPr>
                <w:rFonts w:hint="eastAsia" w:ascii="黑体" w:hAnsi="黑体" w:eastAsia="楷体" w:cs="黑体"/>
                <w:b/>
                <w:bCs/>
                <w:snapToGrid w:val="0"/>
                <w:color w:val="1A202C"/>
                <w:sz w:val="24"/>
                <w:szCs w:val="24"/>
                <w:lang w:bidi="ar"/>
              </w:rPr>
            </w:pPr>
            <w:r>
              <w:rPr>
                <w:rFonts w:hint="eastAsia" w:ascii="黑体" w:hAnsi="黑体" w:eastAsia="楷体" w:cs="黑体"/>
                <w:b/>
                <w:bCs/>
                <w:snapToGrid w:val="0"/>
                <w:color w:val="1A202C"/>
                <w:sz w:val="24"/>
                <w:szCs w:val="24"/>
                <w:lang w:bidi="ar"/>
              </w:rPr>
              <w:t>1980年代</w:t>
            </w:r>
          </w:p>
        </w:tc>
        <w:tc>
          <w:tcPr>
            <w:tcW w:w="2277" w:type="dxa"/>
            <w:shd w:val="clear" w:color="auto" w:fill="B8CCE4" w:themeFill="accent1" w:themeFillTint="66"/>
            <w:vAlign w:val="center"/>
          </w:tcPr>
          <w:p w14:paraId="2D3034CD">
            <w:pPr>
              <w:snapToGrid w:val="0"/>
              <w:spacing w:after="200" w:line="360" w:lineRule="auto"/>
              <w:ind w:firstLine="0"/>
              <w:jc w:val="center"/>
              <w:textAlignment w:val="center"/>
              <w:rPr>
                <w:rFonts w:hint="eastAsia" w:ascii="黑体" w:hAnsi="黑体" w:eastAsia="楷体" w:cs="黑体"/>
                <w:snapToGrid w:val="0"/>
                <w:color w:val="1A202C"/>
                <w:sz w:val="24"/>
                <w:szCs w:val="24"/>
                <w:lang w:bidi="ar"/>
              </w:rPr>
            </w:pPr>
            <w:r>
              <w:rPr>
                <w:rFonts w:hint="eastAsia" w:ascii="黑体" w:hAnsi="黑体" w:eastAsia="楷体" w:cs="黑体"/>
                <w:snapToGrid w:val="0"/>
                <w:color w:val="1A202C"/>
                <w:sz w:val="24"/>
                <w:szCs w:val="24"/>
                <w:lang w:bidi="ar"/>
              </w:rPr>
              <w:t>政府主导的旧城综合治理</w:t>
            </w:r>
          </w:p>
        </w:tc>
        <w:tc>
          <w:tcPr>
            <w:tcW w:w="3260" w:type="dxa"/>
            <w:shd w:val="clear" w:color="auto" w:fill="B8CCE4" w:themeFill="accent1" w:themeFillTint="66"/>
          </w:tcPr>
          <w:p w14:paraId="2D665592">
            <w:pPr>
              <w:snapToGrid w:val="0"/>
              <w:spacing w:after="200" w:line="360" w:lineRule="auto"/>
              <w:ind w:firstLine="0"/>
              <w:jc w:val="left"/>
              <w:textAlignment w:val="center"/>
              <w:rPr>
                <w:rFonts w:hint="eastAsia" w:ascii="黑体" w:hAnsi="黑体" w:eastAsia="楷体" w:cs="黑体"/>
                <w:snapToGrid w:val="0"/>
                <w:color w:val="1A202C"/>
                <w:sz w:val="24"/>
                <w:szCs w:val="24"/>
                <w:lang w:bidi="ar"/>
              </w:rPr>
            </w:pPr>
            <w:r>
              <w:rPr>
                <w:rFonts w:hint="eastAsia" w:ascii="黑体" w:hAnsi="黑体" w:eastAsia="楷体" w:cs="黑体"/>
                <w:snapToGrid w:val="0"/>
                <w:color w:val="1A202C"/>
                <w:sz w:val="24"/>
                <w:szCs w:val="24"/>
                <w:lang w:bidi="ar"/>
              </w:rPr>
              <w:t>主要依靠财政拨款和地方政府信贷融资，来推动住房和基础设施的改善。</w:t>
            </w:r>
          </w:p>
        </w:tc>
        <w:tc>
          <w:tcPr>
            <w:tcW w:w="3007" w:type="dxa"/>
            <w:shd w:val="clear" w:color="auto" w:fill="B8CCE4" w:themeFill="accent1" w:themeFillTint="66"/>
          </w:tcPr>
          <w:p w14:paraId="49ED8540">
            <w:pPr>
              <w:snapToGrid w:val="0"/>
              <w:spacing w:after="200" w:line="360" w:lineRule="auto"/>
              <w:ind w:firstLine="0"/>
              <w:jc w:val="left"/>
              <w:textAlignment w:val="center"/>
              <w:rPr>
                <w:rFonts w:hint="eastAsia" w:ascii="黑体" w:hAnsi="黑体" w:eastAsia="楷体" w:cs="黑体"/>
                <w:snapToGrid w:val="0"/>
                <w:color w:val="1A202C"/>
                <w:sz w:val="24"/>
                <w:szCs w:val="24"/>
                <w:lang w:bidi="ar"/>
              </w:rPr>
            </w:pPr>
            <w:r>
              <w:rPr>
                <w:rFonts w:hint="eastAsia" w:ascii="黑体" w:hAnsi="黑体" w:eastAsia="楷体" w:cs="黑体"/>
                <w:snapToGrid w:val="0"/>
                <w:color w:val="1A202C"/>
                <w:sz w:val="24"/>
                <w:szCs w:val="24"/>
                <w:lang w:bidi="ar"/>
              </w:rPr>
              <w:t>政府包揽，资金来源相对单一。</w:t>
            </w:r>
          </w:p>
        </w:tc>
      </w:tr>
      <w:tr w14:paraId="08186293">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jc w:val="center"/>
        </w:trPr>
        <w:tc>
          <w:tcPr>
            <w:tcW w:w="0" w:type="auto"/>
            <w:tcBorders>
              <w:left w:val="single" w:color="FFFFFF" w:themeColor="background1" w:sz="4" w:space="0"/>
            </w:tcBorders>
            <w:shd w:val="clear" w:color="auto" w:fill="4F81BD" w:themeFill="accent1"/>
            <w:vAlign w:val="center"/>
          </w:tcPr>
          <w:p w14:paraId="6847228D">
            <w:pPr>
              <w:snapToGrid w:val="0"/>
              <w:spacing w:after="200" w:line="360" w:lineRule="auto"/>
              <w:ind w:firstLine="0"/>
              <w:jc w:val="center"/>
              <w:textAlignment w:val="center"/>
              <w:rPr>
                <w:rFonts w:hint="eastAsia" w:ascii="黑体" w:hAnsi="黑体" w:eastAsia="楷体" w:cs="黑体"/>
                <w:b/>
                <w:bCs/>
                <w:snapToGrid w:val="0"/>
                <w:color w:val="1A202C"/>
                <w:sz w:val="24"/>
                <w:szCs w:val="24"/>
                <w:lang w:bidi="ar"/>
              </w:rPr>
            </w:pPr>
            <w:r>
              <w:rPr>
                <w:rFonts w:hint="eastAsia" w:ascii="黑体" w:hAnsi="黑体" w:eastAsia="楷体" w:cs="黑体"/>
                <w:b/>
                <w:bCs/>
                <w:snapToGrid w:val="0"/>
                <w:color w:val="1A202C"/>
                <w:sz w:val="24"/>
                <w:szCs w:val="24"/>
                <w:lang w:bidi="ar"/>
              </w:rPr>
              <w:t>1990年代</w:t>
            </w:r>
          </w:p>
        </w:tc>
        <w:tc>
          <w:tcPr>
            <w:tcW w:w="2277" w:type="dxa"/>
            <w:shd w:val="clear" w:color="auto" w:fill="DBE5F1" w:themeFill="accent1" w:themeFillTint="33"/>
            <w:vAlign w:val="center"/>
          </w:tcPr>
          <w:p w14:paraId="0C0571C3">
            <w:pPr>
              <w:snapToGrid w:val="0"/>
              <w:spacing w:after="200" w:line="360" w:lineRule="auto"/>
              <w:ind w:firstLine="0"/>
              <w:jc w:val="center"/>
              <w:textAlignment w:val="center"/>
              <w:rPr>
                <w:rFonts w:hint="eastAsia" w:ascii="黑体" w:hAnsi="黑体" w:eastAsia="楷体" w:cs="黑体"/>
                <w:snapToGrid w:val="0"/>
                <w:color w:val="1A202C"/>
                <w:sz w:val="24"/>
                <w:szCs w:val="24"/>
                <w:lang w:bidi="ar"/>
              </w:rPr>
            </w:pPr>
            <w:r>
              <w:rPr>
                <w:rFonts w:hint="eastAsia" w:ascii="黑体" w:hAnsi="黑体" w:eastAsia="楷体" w:cs="黑体"/>
                <w:snapToGrid w:val="0"/>
                <w:color w:val="1A202C"/>
                <w:sz w:val="24"/>
                <w:szCs w:val="24"/>
                <w:lang w:bidi="ar"/>
              </w:rPr>
              <w:t>市场主导的大规模旧城再开发</w:t>
            </w:r>
          </w:p>
        </w:tc>
        <w:tc>
          <w:tcPr>
            <w:tcW w:w="3260" w:type="dxa"/>
            <w:shd w:val="clear" w:color="auto" w:fill="DBE5F1" w:themeFill="accent1" w:themeFillTint="33"/>
          </w:tcPr>
          <w:p w14:paraId="47EA06F4">
            <w:pPr>
              <w:snapToGrid w:val="0"/>
              <w:spacing w:after="200" w:line="360" w:lineRule="auto"/>
              <w:ind w:firstLine="0"/>
              <w:jc w:val="left"/>
              <w:textAlignment w:val="center"/>
              <w:rPr>
                <w:rFonts w:hint="eastAsia" w:ascii="黑体" w:hAnsi="黑体" w:eastAsia="楷体" w:cs="黑体"/>
                <w:snapToGrid w:val="0"/>
                <w:color w:val="1A202C"/>
                <w:sz w:val="24"/>
                <w:szCs w:val="24"/>
                <w:lang w:bidi="ar"/>
              </w:rPr>
            </w:pPr>
            <w:r>
              <w:rPr>
                <w:rFonts w:hint="eastAsia" w:ascii="黑体" w:hAnsi="黑体" w:eastAsia="楷体" w:cs="黑体"/>
                <w:snapToGrid w:val="0"/>
                <w:color w:val="1A202C"/>
                <w:sz w:val="24"/>
                <w:szCs w:val="24"/>
                <w:lang w:bidi="ar"/>
              </w:rPr>
              <w:t>地方政府将土地使用权划拨或协议出让给开发商；由开发企业（社会资本）自行筹资，直接负责原居民的拆迁安置、土地整理与开发。</w:t>
            </w:r>
          </w:p>
        </w:tc>
        <w:tc>
          <w:tcPr>
            <w:tcW w:w="3007" w:type="dxa"/>
            <w:shd w:val="clear" w:color="auto" w:fill="DBE5F1" w:themeFill="accent1" w:themeFillTint="33"/>
          </w:tcPr>
          <w:p w14:paraId="7819928F">
            <w:pPr>
              <w:snapToGrid w:val="0"/>
              <w:spacing w:after="200" w:line="360" w:lineRule="auto"/>
              <w:ind w:firstLine="0"/>
              <w:jc w:val="left"/>
              <w:textAlignment w:val="center"/>
              <w:rPr>
                <w:rFonts w:hint="eastAsia" w:ascii="黑体" w:hAnsi="黑体" w:eastAsia="楷体" w:cs="黑体"/>
                <w:snapToGrid w:val="0"/>
                <w:color w:val="1A202C"/>
                <w:sz w:val="24"/>
                <w:szCs w:val="24"/>
                <w:lang w:bidi="ar"/>
              </w:rPr>
            </w:pPr>
            <w:r>
              <w:rPr>
                <w:rFonts w:hint="eastAsia" w:ascii="黑体" w:hAnsi="黑体" w:eastAsia="楷体" w:cs="黑体"/>
                <w:snapToGrid w:val="0"/>
                <w:color w:val="1A202C"/>
                <w:sz w:val="24"/>
                <w:szCs w:val="24"/>
                <w:lang w:bidi="ar"/>
              </w:rPr>
              <w:t>适用1991年《城市房屋拆迁管理条例》，开发商负责拆迁，快速推进了旧改但也引发了尖锐的社会问题</w:t>
            </w:r>
            <w:r>
              <w:rPr>
                <w:rFonts w:hint="eastAsia" w:ascii="黑体" w:hAnsi="黑体" w:eastAsia="楷体" w:cs="黑体"/>
                <w:snapToGrid w:val="0"/>
                <w:color w:val="1A202C"/>
                <w:szCs w:val="24"/>
                <w:lang w:bidi="ar"/>
              </w:rPr>
              <w:t>。</w:t>
            </w:r>
          </w:p>
        </w:tc>
      </w:tr>
      <w:tr w14:paraId="7957676C">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jc w:val="center"/>
        </w:trPr>
        <w:tc>
          <w:tcPr>
            <w:tcW w:w="0" w:type="auto"/>
            <w:tcBorders>
              <w:left w:val="single" w:color="FFFFFF" w:themeColor="background1" w:sz="4" w:space="0"/>
            </w:tcBorders>
            <w:shd w:val="clear" w:color="auto" w:fill="4F81BD" w:themeFill="accent1"/>
            <w:vAlign w:val="center"/>
          </w:tcPr>
          <w:p w14:paraId="2A8A672A">
            <w:pPr>
              <w:snapToGrid w:val="0"/>
              <w:spacing w:after="200" w:line="360" w:lineRule="auto"/>
              <w:ind w:firstLine="0"/>
              <w:jc w:val="center"/>
              <w:textAlignment w:val="center"/>
              <w:rPr>
                <w:rFonts w:hint="eastAsia" w:ascii="黑体" w:hAnsi="黑体" w:eastAsia="楷体" w:cs="黑体"/>
                <w:b/>
                <w:bCs/>
                <w:snapToGrid w:val="0"/>
                <w:color w:val="1A202C"/>
                <w:sz w:val="24"/>
                <w:szCs w:val="24"/>
                <w:lang w:bidi="ar"/>
              </w:rPr>
            </w:pPr>
            <w:r>
              <w:rPr>
                <w:rFonts w:hint="eastAsia" w:ascii="黑体" w:hAnsi="黑体" w:eastAsia="楷体" w:cs="黑体"/>
                <w:b/>
                <w:bCs/>
                <w:snapToGrid w:val="0"/>
                <w:color w:val="1A202C"/>
                <w:sz w:val="24"/>
                <w:szCs w:val="24"/>
                <w:lang w:bidi="ar"/>
              </w:rPr>
              <w:t>2000年至2010年代初</w:t>
            </w:r>
          </w:p>
        </w:tc>
        <w:tc>
          <w:tcPr>
            <w:tcW w:w="2277" w:type="dxa"/>
            <w:shd w:val="clear" w:color="auto" w:fill="B8CCE4" w:themeFill="accent1" w:themeFillTint="66"/>
            <w:vAlign w:val="center"/>
          </w:tcPr>
          <w:p w14:paraId="1AA46DDB">
            <w:pPr>
              <w:snapToGrid w:val="0"/>
              <w:spacing w:after="200" w:line="360" w:lineRule="auto"/>
              <w:ind w:firstLine="0"/>
              <w:jc w:val="center"/>
              <w:textAlignment w:val="center"/>
              <w:rPr>
                <w:rFonts w:hint="eastAsia" w:ascii="黑体" w:hAnsi="黑体" w:eastAsia="楷体" w:cs="黑体"/>
                <w:snapToGrid w:val="0"/>
                <w:color w:val="1A202C"/>
                <w:sz w:val="24"/>
                <w:szCs w:val="24"/>
                <w:lang w:bidi="ar"/>
              </w:rPr>
            </w:pPr>
            <w:r>
              <w:rPr>
                <w:rFonts w:hint="eastAsia" w:ascii="黑体" w:hAnsi="黑体" w:eastAsia="楷体" w:cs="黑体"/>
                <w:snapToGrid w:val="0"/>
                <w:color w:val="1A202C"/>
                <w:sz w:val="24"/>
                <w:szCs w:val="24"/>
                <w:lang w:bidi="ar"/>
              </w:rPr>
              <w:t>土地收储与</w:t>
            </w:r>
            <w:r>
              <w:rPr>
                <w:rFonts w:hint="eastAsia" w:ascii="黑体" w:hAnsi="黑体" w:eastAsia="楷体" w:cs="黑体"/>
                <w:snapToGrid w:val="0"/>
                <w:color w:val="1A202C"/>
                <w:szCs w:val="24"/>
                <w:lang w:bidi="ar"/>
              </w:rPr>
              <w:t>“净地”</w:t>
            </w:r>
            <w:r>
              <w:rPr>
                <w:rFonts w:hint="eastAsia" w:ascii="黑体" w:hAnsi="黑体" w:eastAsia="楷体" w:cs="黑体"/>
                <w:snapToGrid w:val="0"/>
                <w:color w:val="1A202C"/>
                <w:sz w:val="24"/>
                <w:szCs w:val="24"/>
                <w:lang w:bidi="ar"/>
              </w:rPr>
              <w:t>出让</w:t>
            </w:r>
          </w:p>
        </w:tc>
        <w:tc>
          <w:tcPr>
            <w:tcW w:w="3260" w:type="dxa"/>
            <w:shd w:val="clear" w:color="auto" w:fill="B8CCE4" w:themeFill="accent1" w:themeFillTint="66"/>
          </w:tcPr>
          <w:p w14:paraId="31173BDB">
            <w:pPr>
              <w:snapToGrid w:val="0"/>
              <w:spacing w:after="200" w:line="360" w:lineRule="auto"/>
              <w:ind w:firstLine="0"/>
              <w:jc w:val="left"/>
              <w:textAlignment w:val="center"/>
              <w:rPr>
                <w:rFonts w:hint="eastAsia" w:ascii="黑体" w:hAnsi="黑体" w:eastAsia="楷体" w:cs="黑体"/>
                <w:snapToGrid w:val="0"/>
                <w:color w:val="1A202C"/>
                <w:sz w:val="24"/>
                <w:szCs w:val="24"/>
                <w:lang w:bidi="ar"/>
              </w:rPr>
            </w:pPr>
            <w:r>
              <w:rPr>
                <w:rFonts w:hint="eastAsia" w:ascii="黑体" w:hAnsi="黑体" w:eastAsia="楷体" w:cs="黑体"/>
                <w:snapToGrid w:val="0"/>
                <w:color w:val="1A202C"/>
                <w:sz w:val="24"/>
                <w:szCs w:val="24"/>
                <w:lang w:bidi="ar"/>
              </w:rPr>
              <w:t>确立土地一级开发与二级开发相分离原则；政府进行土地收储、统筹拆迁安置，整理成</w:t>
            </w:r>
            <w:r>
              <w:rPr>
                <w:rFonts w:hint="eastAsia" w:ascii="黑体" w:hAnsi="黑体" w:eastAsia="楷体" w:cs="黑体"/>
                <w:snapToGrid w:val="0"/>
                <w:color w:val="1A202C"/>
                <w:szCs w:val="24"/>
                <w:lang w:bidi="ar"/>
              </w:rPr>
              <w:t>“</w:t>
            </w:r>
            <w:r>
              <w:rPr>
                <w:rFonts w:hint="eastAsia" w:ascii="黑体" w:hAnsi="黑体" w:eastAsia="楷体" w:cs="黑体"/>
                <w:snapToGrid w:val="0"/>
                <w:color w:val="1A202C"/>
                <w:sz w:val="24"/>
                <w:szCs w:val="24"/>
                <w:lang w:bidi="ar"/>
              </w:rPr>
              <w:t>净地</w:t>
            </w:r>
            <w:r>
              <w:rPr>
                <w:rFonts w:hint="eastAsia" w:ascii="黑体" w:hAnsi="黑体" w:eastAsia="楷体" w:cs="黑体"/>
                <w:snapToGrid w:val="0"/>
                <w:color w:val="1A202C"/>
                <w:szCs w:val="24"/>
                <w:lang w:bidi="ar"/>
              </w:rPr>
              <w:t>”</w:t>
            </w:r>
            <w:r>
              <w:rPr>
                <w:rFonts w:hint="eastAsia" w:ascii="黑体" w:hAnsi="黑体" w:eastAsia="楷体" w:cs="黑体"/>
                <w:snapToGrid w:val="0"/>
                <w:color w:val="1A202C"/>
                <w:sz w:val="24"/>
                <w:szCs w:val="24"/>
                <w:lang w:bidi="ar"/>
              </w:rPr>
              <w:t>后再通过</w:t>
            </w:r>
            <w:r>
              <w:rPr>
                <w:rFonts w:hint="eastAsia" w:ascii="黑体" w:hAnsi="黑体" w:eastAsia="楷体" w:cs="黑体"/>
                <w:snapToGrid w:val="0"/>
                <w:color w:val="1A202C"/>
                <w:szCs w:val="24"/>
                <w:lang w:bidi="ar"/>
              </w:rPr>
              <w:t>“</w:t>
            </w:r>
            <w:r>
              <w:rPr>
                <w:rFonts w:hint="eastAsia" w:ascii="黑体" w:hAnsi="黑体" w:eastAsia="楷体" w:cs="黑体"/>
                <w:snapToGrid w:val="0"/>
                <w:color w:val="1A202C"/>
                <w:sz w:val="24"/>
                <w:szCs w:val="24"/>
                <w:lang w:bidi="ar"/>
              </w:rPr>
              <w:t>招拍挂</w:t>
            </w:r>
            <w:r>
              <w:rPr>
                <w:rFonts w:hint="eastAsia" w:ascii="黑体" w:hAnsi="黑体" w:eastAsia="楷体" w:cs="黑体"/>
                <w:snapToGrid w:val="0"/>
                <w:color w:val="1A202C"/>
                <w:szCs w:val="24"/>
                <w:lang w:bidi="ar"/>
              </w:rPr>
              <w:t>”</w:t>
            </w:r>
            <w:r>
              <w:rPr>
                <w:rFonts w:hint="eastAsia" w:ascii="黑体" w:hAnsi="黑体" w:eastAsia="楷体" w:cs="黑体"/>
                <w:snapToGrid w:val="0"/>
                <w:color w:val="1A202C"/>
                <w:sz w:val="24"/>
                <w:szCs w:val="24"/>
                <w:lang w:bidi="ar"/>
              </w:rPr>
              <w:t>出让给开发企业。</w:t>
            </w:r>
          </w:p>
        </w:tc>
        <w:tc>
          <w:tcPr>
            <w:tcW w:w="3007" w:type="dxa"/>
            <w:shd w:val="clear" w:color="auto" w:fill="B8CCE4" w:themeFill="accent1" w:themeFillTint="66"/>
          </w:tcPr>
          <w:p w14:paraId="63601D78">
            <w:pPr>
              <w:snapToGrid w:val="0"/>
              <w:spacing w:after="200" w:line="360" w:lineRule="auto"/>
              <w:ind w:firstLine="0"/>
              <w:jc w:val="left"/>
              <w:textAlignment w:val="center"/>
              <w:rPr>
                <w:rFonts w:hint="eastAsia" w:ascii="黑体" w:hAnsi="黑体" w:eastAsia="楷体" w:cs="黑体"/>
                <w:snapToGrid w:val="0"/>
                <w:color w:val="1A202C"/>
                <w:sz w:val="24"/>
                <w:szCs w:val="24"/>
                <w:lang w:bidi="ar"/>
              </w:rPr>
            </w:pPr>
            <w:r>
              <w:rPr>
                <w:rFonts w:hint="eastAsia" w:ascii="黑体" w:hAnsi="黑体" w:eastAsia="楷体" w:cs="黑体"/>
                <w:snapToGrid w:val="0"/>
                <w:color w:val="1A202C"/>
                <w:sz w:val="24"/>
                <w:szCs w:val="24"/>
                <w:lang w:bidi="ar"/>
              </w:rPr>
              <w:t>2011年出台《国有土地上房屋征收与补偿条例》，</w:t>
            </w:r>
            <w:r>
              <w:rPr>
                <w:rFonts w:hint="eastAsia" w:ascii="黑体" w:hAnsi="黑体" w:eastAsia="楷体" w:cs="黑体"/>
                <w:snapToGrid w:val="0"/>
                <w:color w:val="1A202C"/>
                <w:szCs w:val="24"/>
                <w:lang w:bidi="ar"/>
              </w:rPr>
              <w:t>“征收”</w:t>
            </w:r>
            <w:r>
              <w:rPr>
                <w:rFonts w:hint="eastAsia" w:ascii="黑体" w:hAnsi="黑体" w:eastAsia="楷体" w:cs="黑体"/>
                <w:snapToGrid w:val="0"/>
                <w:color w:val="1A202C"/>
                <w:sz w:val="24"/>
                <w:szCs w:val="24"/>
                <w:lang w:bidi="ar"/>
              </w:rPr>
              <w:t>替代</w:t>
            </w:r>
            <w:r>
              <w:rPr>
                <w:rFonts w:hint="eastAsia" w:ascii="黑体" w:hAnsi="黑体" w:eastAsia="楷体" w:cs="黑体"/>
                <w:snapToGrid w:val="0"/>
                <w:color w:val="1A202C"/>
                <w:szCs w:val="24"/>
                <w:lang w:bidi="ar"/>
              </w:rPr>
              <w:t>“拆迁”</w:t>
            </w:r>
            <w:r>
              <w:rPr>
                <w:rFonts w:hint="eastAsia" w:ascii="黑体" w:hAnsi="黑体" w:eastAsia="楷体" w:cs="黑体"/>
                <w:snapToGrid w:val="0"/>
                <w:color w:val="1A202C"/>
                <w:sz w:val="24"/>
                <w:szCs w:val="24"/>
                <w:lang w:bidi="ar"/>
              </w:rPr>
              <w:t>，明确仅政府有权基于公共利益作出征收决定。</w:t>
            </w:r>
          </w:p>
        </w:tc>
      </w:tr>
      <w:tr w14:paraId="3197A2B0">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jc w:val="center"/>
        </w:trPr>
        <w:tc>
          <w:tcPr>
            <w:tcW w:w="0" w:type="auto"/>
            <w:tcBorders>
              <w:left w:val="single" w:color="FFFFFF" w:themeColor="background1" w:sz="4" w:space="0"/>
            </w:tcBorders>
            <w:shd w:val="clear" w:color="auto" w:fill="4F81BD" w:themeFill="accent1"/>
            <w:vAlign w:val="center"/>
          </w:tcPr>
          <w:p w14:paraId="29278A7B">
            <w:pPr>
              <w:snapToGrid w:val="0"/>
              <w:spacing w:after="200" w:line="360" w:lineRule="auto"/>
              <w:ind w:firstLine="0"/>
              <w:jc w:val="center"/>
              <w:textAlignment w:val="center"/>
              <w:rPr>
                <w:rFonts w:hint="eastAsia" w:ascii="黑体" w:hAnsi="黑体" w:eastAsia="楷体" w:cs="黑体"/>
                <w:b/>
                <w:bCs/>
                <w:snapToGrid w:val="0"/>
                <w:color w:val="1A202C"/>
                <w:sz w:val="24"/>
                <w:szCs w:val="24"/>
                <w:lang w:bidi="ar"/>
              </w:rPr>
            </w:pPr>
            <w:r>
              <w:rPr>
                <w:rFonts w:hint="eastAsia" w:ascii="黑体" w:hAnsi="黑体" w:eastAsia="楷体" w:cs="黑体"/>
                <w:b/>
                <w:bCs/>
                <w:snapToGrid w:val="0"/>
                <w:color w:val="1A202C"/>
                <w:sz w:val="24"/>
                <w:szCs w:val="24"/>
                <w:lang w:bidi="ar"/>
              </w:rPr>
              <w:t>2000年代末至2010年代中后期</w:t>
            </w:r>
          </w:p>
        </w:tc>
        <w:tc>
          <w:tcPr>
            <w:tcW w:w="2277" w:type="dxa"/>
            <w:shd w:val="clear" w:color="auto" w:fill="DBE5F1" w:themeFill="accent1" w:themeFillTint="33"/>
            <w:vAlign w:val="center"/>
          </w:tcPr>
          <w:p w14:paraId="6CF8480E">
            <w:pPr>
              <w:snapToGrid w:val="0"/>
              <w:spacing w:after="200" w:line="360" w:lineRule="auto"/>
              <w:ind w:firstLine="0"/>
              <w:jc w:val="center"/>
              <w:textAlignment w:val="center"/>
              <w:rPr>
                <w:rFonts w:hint="eastAsia" w:ascii="黑体" w:hAnsi="黑体" w:eastAsia="楷体" w:cs="黑体"/>
                <w:snapToGrid w:val="0"/>
                <w:color w:val="1A202C"/>
                <w:sz w:val="24"/>
                <w:szCs w:val="24"/>
                <w:lang w:bidi="ar"/>
              </w:rPr>
            </w:pPr>
            <w:r>
              <w:rPr>
                <w:rFonts w:hint="eastAsia" w:ascii="黑体" w:hAnsi="黑体" w:eastAsia="楷体" w:cs="黑体"/>
                <w:snapToGrid w:val="0"/>
                <w:color w:val="1A202C"/>
                <w:sz w:val="24"/>
                <w:szCs w:val="24"/>
                <w:lang w:bidi="ar"/>
              </w:rPr>
              <w:t>地方细致化探索与多模式并行</w:t>
            </w:r>
          </w:p>
        </w:tc>
        <w:tc>
          <w:tcPr>
            <w:tcW w:w="3260" w:type="dxa"/>
            <w:shd w:val="clear" w:color="auto" w:fill="DBE5F1" w:themeFill="accent1" w:themeFillTint="33"/>
          </w:tcPr>
          <w:p w14:paraId="0BF123D8">
            <w:pPr>
              <w:snapToGrid w:val="0"/>
              <w:spacing w:after="200" w:line="360" w:lineRule="auto"/>
              <w:ind w:firstLine="0"/>
              <w:jc w:val="left"/>
              <w:textAlignment w:val="center"/>
              <w:rPr>
                <w:rFonts w:hint="eastAsia" w:ascii="黑体" w:hAnsi="黑体" w:eastAsia="楷体" w:cs="黑体"/>
                <w:snapToGrid w:val="0"/>
                <w:color w:val="1A202C"/>
                <w:sz w:val="24"/>
                <w:szCs w:val="24"/>
                <w:lang w:bidi="ar"/>
              </w:rPr>
            </w:pPr>
            <w:r>
              <w:rPr>
                <w:rFonts w:hint="eastAsia" w:ascii="黑体" w:hAnsi="黑体" w:eastAsia="楷体" w:cs="黑体"/>
                <w:snapToGrid w:val="0"/>
                <w:color w:val="1A202C"/>
                <w:sz w:val="24"/>
                <w:szCs w:val="24"/>
                <w:lang w:bidi="ar"/>
              </w:rPr>
              <w:t>各地探索政府、市场与原权利人多方利益共享机制；同时，国家层面大力推进政府主导的大规模公益性棚户区改造。</w:t>
            </w:r>
          </w:p>
        </w:tc>
        <w:tc>
          <w:tcPr>
            <w:tcW w:w="3007" w:type="dxa"/>
            <w:shd w:val="clear" w:color="auto" w:fill="DBE5F1" w:themeFill="accent1" w:themeFillTint="33"/>
          </w:tcPr>
          <w:p w14:paraId="3CF8D888">
            <w:pPr>
              <w:snapToGrid w:val="0"/>
              <w:spacing w:after="200" w:line="360" w:lineRule="auto"/>
              <w:ind w:firstLine="0"/>
              <w:jc w:val="left"/>
              <w:textAlignment w:val="center"/>
              <w:rPr>
                <w:rFonts w:hint="eastAsia" w:ascii="黑体" w:hAnsi="黑体" w:eastAsia="楷体" w:cs="黑体"/>
                <w:snapToGrid w:val="0"/>
                <w:color w:val="1A202C"/>
                <w:sz w:val="24"/>
                <w:szCs w:val="24"/>
                <w:lang w:bidi="ar"/>
              </w:rPr>
            </w:pPr>
            <w:r>
              <w:rPr>
                <w:rFonts w:hint="eastAsia" w:ascii="黑体" w:hAnsi="黑体" w:eastAsia="楷体" w:cs="黑体"/>
                <w:snapToGrid w:val="0"/>
                <w:color w:val="1A202C"/>
                <w:sz w:val="24"/>
                <w:szCs w:val="24"/>
                <w:lang w:bidi="ar"/>
              </w:rPr>
              <w:t>广州推出</w:t>
            </w:r>
            <w:r>
              <w:rPr>
                <w:rFonts w:hint="eastAsia" w:ascii="黑体" w:hAnsi="黑体" w:eastAsia="楷体" w:cs="黑体"/>
                <w:snapToGrid w:val="0"/>
                <w:color w:val="1A202C"/>
                <w:szCs w:val="24"/>
                <w:lang w:bidi="ar"/>
              </w:rPr>
              <w:t>“三旧”</w:t>
            </w:r>
            <w:r>
              <w:rPr>
                <w:rFonts w:hint="eastAsia" w:ascii="黑体" w:hAnsi="黑体" w:eastAsia="楷体" w:cs="黑体"/>
                <w:snapToGrid w:val="0"/>
                <w:color w:val="1A202C"/>
                <w:sz w:val="24"/>
                <w:szCs w:val="24"/>
                <w:lang w:bidi="ar"/>
              </w:rPr>
              <w:t>改造（政、企、村三方共享）</w:t>
            </w:r>
            <w:r>
              <w:rPr>
                <w:rFonts w:hint="eastAsia" w:ascii="黑体" w:hAnsi="黑体" w:eastAsia="楷体" w:cs="黑体"/>
                <w:snapToGrid w:val="0"/>
                <w:color w:val="1A202C"/>
                <w:szCs w:val="24"/>
                <w:lang w:bidi="ar"/>
              </w:rPr>
              <w:t>；</w:t>
            </w:r>
            <w:r>
              <w:rPr>
                <w:rFonts w:hint="eastAsia" w:ascii="黑体" w:hAnsi="黑体" w:eastAsia="楷体" w:cs="黑体"/>
                <w:snapToGrid w:val="0"/>
                <w:color w:val="1A202C"/>
                <w:sz w:val="24"/>
                <w:szCs w:val="24"/>
                <w:lang w:bidi="ar"/>
              </w:rPr>
              <w:t>深圳确立以市场化统筹为主的更新机制</w:t>
            </w:r>
          </w:p>
        </w:tc>
      </w:tr>
      <w:tr w14:paraId="2AA664BD">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jc w:val="center"/>
        </w:trPr>
        <w:tc>
          <w:tcPr>
            <w:tcW w:w="0" w:type="auto"/>
            <w:tcBorders>
              <w:left w:val="single" w:color="FFFFFF" w:themeColor="background1" w:sz="4" w:space="0"/>
              <w:bottom w:val="single" w:color="FFFFFF" w:themeColor="background1" w:sz="4" w:space="0"/>
            </w:tcBorders>
            <w:shd w:val="clear" w:color="auto" w:fill="4F81BD" w:themeFill="accent1"/>
            <w:vAlign w:val="center"/>
          </w:tcPr>
          <w:p w14:paraId="21490624">
            <w:pPr>
              <w:snapToGrid w:val="0"/>
              <w:spacing w:after="200" w:line="360" w:lineRule="auto"/>
              <w:ind w:firstLine="0"/>
              <w:jc w:val="center"/>
              <w:textAlignment w:val="center"/>
              <w:rPr>
                <w:rFonts w:hint="eastAsia" w:ascii="黑体" w:hAnsi="黑体" w:eastAsia="楷体" w:cs="黑体"/>
                <w:b/>
                <w:bCs/>
                <w:snapToGrid w:val="0"/>
                <w:color w:val="1A202C"/>
                <w:sz w:val="24"/>
                <w:szCs w:val="24"/>
                <w:lang w:bidi="ar"/>
              </w:rPr>
            </w:pPr>
            <w:r>
              <w:rPr>
                <w:rFonts w:hint="eastAsia" w:ascii="黑体" w:hAnsi="黑体" w:eastAsia="楷体" w:cs="黑体"/>
                <w:b/>
                <w:bCs/>
                <w:snapToGrid w:val="0"/>
                <w:color w:val="1A202C"/>
                <w:sz w:val="24"/>
                <w:szCs w:val="24"/>
                <w:lang w:bidi="ar"/>
              </w:rPr>
              <w:t>近年来（新常态至今）</w:t>
            </w:r>
          </w:p>
        </w:tc>
        <w:tc>
          <w:tcPr>
            <w:tcW w:w="2277" w:type="dxa"/>
            <w:shd w:val="clear" w:color="auto" w:fill="B8CCE4" w:themeFill="accent1" w:themeFillTint="66"/>
            <w:vAlign w:val="center"/>
          </w:tcPr>
          <w:p w14:paraId="097D6281">
            <w:pPr>
              <w:snapToGrid w:val="0"/>
              <w:spacing w:after="200" w:line="360" w:lineRule="auto"/>
              <w:ind w:firstLine="0"/>
              <w:jc w:val="center"/>
              <w:textAlignment w:val="center"/>
              <w:rPr>
                <w:rFonts w:hint="eastAsia" w:ascii="黑体" w:hAnsi="黑体" w:eastAsia="楷体" w:cs="黑体"/>
                <w:snapToGrid w:val="0"/>
                <w:color w:val="1A202C"/>
                <w:sz w:val="24"/>
                <w:szCs w:val="24"/>
                <w:lang w:bidi="ar"/>
              </w:rPr>
            </w:pPr>
            <w:r>
              <w:rPr>
                <w:rFonts w:hint="eastAsia" w:ascii="黑体" w:hAnsi="黑体" w:eastAsia="楷体" w:cs="黑体"/>
                <w:snapToGrid w:val="0"/>
                <w:color w:val="1A202C"/>
                <w:sz w:val="24"/>
                <w:szCs w:val="24"/>
                <w:lang w:bidi="ar"/>
              </w:rPr>
              <w:t>迈向“存量提质”的有机更新与自主更新</w:t>
            </w:r>
          </w:p>
        </w:tc>
        <w:tc>
          <w:tcPr>
            <w:tcW w:w="3260" w:type="dxa"/>
            <w:shd w:val="clear" w:color="auto" w:fill="B8CCE4" w:themeFill="accent1" w:themeFillTint="66"/>
          </w:tcPr>
          <w:p w14:paraId="2A38B705">
            <w:pPr>
              <w:snapToGrid w:val="0"/>
              <w:spacing w:after="200" w:line="360" w:lineRule="auto"/>
              <w:ind w:firstLine="0"/>
              <w:jc w:val="left"/>
              <w:textAlignment w:val="center"/>
              <w:rPr>
                <w:rFonts w:hint="eastAsia" w:ascii="黑体" w:hAnsi="黑体" w:eastAsia="楷体" w:cs="黑体"/>
                <w:snapToGrid w:val="0"/>
                <w:color w:val="1A202C"/>
                <w:sz w:val="24"/>
                <w:szCs w:val="24"/>
                <w:lang w:bidi="ar"/>
              </w:rPr>
            </w:pPr>
            <w:r>
              <w:rPr>
                <w:rFonts w:hint="eastAsia" w:ascii="黑体" w:hAnsi="黑体" w:eastAsia="楷体" w:cs="黑体"/>
                <w:snapToGrid w:val="0"/>
                <w:color w:val="1A202C"/>
                <w:sz w:val="24"/>
                <w:szCs w:val="24"/>
                <w:lang w:bidi="ar"/>
              </w:rPr>
              <w:t>明确</w:t>
            </w:r>
            <w:r>
              <w:rPr>
                <w:rFonts w:hint="eastAsia" w:ascii="黑体" w:hAnsi="黑体" w:eastAsia="楷体" w:cs="黑体"/>
                <w:snapToGrid w:val="0"/>
                <w:color w:val="1A202C"/>
                <w:szCs w:val="24"/>
                <w:lang w:bidi="ar"/>
              </w:rPr>
              <w:t>“</w:t>
            </w:r>
            <w:r>
              <w:rPr>
                <w:rFonts w:hint="eastAsia" w:ascii="黑体" w:hAnsi="黑体" w:eastAsia="楷体" w:cs="黑体"/>
                <w:snapToGrid w:val="0"/>
                <w:color w:val="1A202C"/>
                <w:sz w:val="24"/>
                <w:szCs w:val="24"/>
                <w:lang w:bidi="ar"/>
              </w:rPr>
              <w:t>防止大拆大建</w:t>
            </w:r>
            <w:r>
              <w:rPr>
                <w:rFonts w:hint="eastAsia" w:ascii="黑体" w:hAnsi="黑体" w:eastAsia="楷体" w:cs="黑体"/>
                <w:snapToGrid w:val="0"/>
                <w:color w:val="1A202C"/>
                <w:szCs w:val="24"/>
                <w:lang w:bidi="ar"/>
              </w:rPr>
              <w:t>”</w:t>
            </w:r>
            <w:r>
              <w:rPr>
                <w:rFonts w:hint="eastAsia" w:ascii="黑体" w:hAnsi="黑体" w:eastAsia="楷体" w:cs="黑体"/>
                <w:snapToGrid w:val="0"/>
                <w:color w:val="1A202C"/>
                <w:sz w:val="24"/>
                <w:szCs w:val="24"/>
                <w:lang w:bidi="ar"/>
              </w:rPr>
              <w:t>，倡导渐进式的</w:t>
            </w:r>
            <w:r>
              <w:rPr>
                <w:rFonts w:hint="eastAsia" w:ascii="黑体" w:hAnsi="黑体" w:eastAsia="楷体" w:cs="黑体"/>
                <w:snapToGrid w:val="0"/>
                <w:color w:val="1A202C"/>
                <w:szCs w:val="24"/>
                <w:lang w:bidi="ar"/>
              </w:rPr>
              <w:t>“</w:t>
            </w:r>
            <w:r>
              <w:rPr>
                <w:rFonts w:hint="eastAsia" w:ascii="黑体" w:hAnsi="黑体" w:eastAsia="楷体" w:cs="黑体"/>
                <w:snapToGrid w:val="0"/>
                <w:color w:val="1A202C"/>
                <w:sz w:val="24"/>
                <w:szCs w:val="24"/>
                <w:lang w:bidi="ar"/>
              </w:rPr>
              <w:t>微更新</w:t>
            </w:r>
            <w:r>
              <w:rPr>
                <w:rFonts w:hint="eastAsia" w:ascii="黑体" w:hAnsi="黑体" w:eastAsia="楷体" w:cs="黑体"/>
                <w:snapToGrid w:val="0"/>
                <w:color w:val="1A202C"/>
                <w:szCs w:val="24"/>
                <w:lang w:bidi="ar"/>
              </w:rPr>
              <w:t>”</w:t>
            </w:r>
            <w:r>
              <w:rPr>
                <w:rFonts w:hint="eastAsia" w:ascii="黑体" w:hAnsi="黑体" w:eastAsia="楷体" w:cs="黑体"/>
                <w:snapToGrid w:val="0"/>
                <w:color w:val="1A202C"/>
                <w:sz w:val="24"/>
                <w:szCs w:val="24"/>
                <w:lang w:bidi="ar"/>
              </w:rPr>
              <w:t>和修缮保护</w:t>
            </w:r>
            <w:r>
              <w:rPr>
                <w:rFonts w:hint="eastAsia" w:ascii="黑体" w:hAnsi="黑体" w:eastAsia="楷体" w:cs="黑体"/>
                <w:snapToGrid w:val="0"/>
                <w:color w:val="1A202C"/>
                <w:szCs w:val="24"/>
                <w:lang w:bidi="ar"/>
              </w:rPr>
              <w:t>；</w:t>
            </w:r>
            <w:r>
              <w:rPr>
                <w:rFonts w:hint="eastAsia" w:ascii="黑体" w:hAnsi="黑体" w:eastAsia="楷体" w:cs="黑体"/>
                <w:snapToGrid w:val="0"/>
                <w:color w:val="1A202C"/>
                <w:sz w:val="24"/>
                <w:szCs w:val="24"/>
                <w:lang w:bidi="ar"/>
              </w:rPr>
              <w:t>针对老旧</w:t>
            </w:r>
            <w:r>
              <w:rPr>
                <w:rFonts w:hint="eastAsia" w:ascii="黑体" w:hAnsi="黑体" w:eastAsia="楷体" w:cs="黑体"/>
                <w:snapToGrid w:val="0"/>
                <w:color w:val="1A202C"/>
                <w:szCs w:val="24"/>
                <w:lang w:bidi="ar"/>
              </w:rPr>
              <w:t>（危房）</w:t>
            </w:r>
            <w:r>
              <w:rPr>
                <w:rFonts w:hint="eastAsia" w:ascii="黑体" w:hAnsi="黑体" w:eastAsia="楷体" w:cs="黑体"/>
                <w:snapToGrid w:val="0"/>
                <w:color w:val="1A202C"/>
                <w:sz w:val="24"/>
                <w:szCs w:val="24"/>
                <w:lang w:bidi="ar"/>
              </w:rPr>
              <w:t>小区，探索基于</w:t>
            </w:r>
            <w:r>
              <w:rPr>
                <w:rFonts w:hint="eastAsia" w:ascii="黑体" w:hAnsi="黑体" w:eastAsia="楷体" w:cs="黑体"/>
                <w:snapToGrid w:val="0"/>
                <w:color w:val="1A202C"/>
                <w:szCs w:val="24"/>
                <w:lang w:bidi="ar"/>
              </w:rPr>
              <w:t>“</w:t>
            </w:r>
            <w:r>
              <w:rPr>
                <w:rFonts w:hint="eastAsia" w:ascii="黑体" w:hAnsi="黑体" w:eastAsia="楷体" w:cs="黑体"/>
                <w:snapToGrid w:val="0"/>
                <w:color w:val="1A202C"/>
                <w:sz w:val="24"/>
                <w:szCs w:val="24"/>
                <w:lang w:bidi="ar"/>
              </w:rPr>
              <w:t>谁受益、谁出资</w:t>
            </w:r>
            <w:r>
              <w:rPr>
                <w:rFonts w:hint="eastAsia" w:ascii="黑体" w:hAnsi="黑体" w:eastAsia="楷体" w:cs="黑体"/>
                <w:snapToGrid w:val="0"/>
                <w:color w:val="1A202C"/>
                <w:szCs w:val="24"/>
                <w:lang w:bidi="ar"/>
              </w:rPr>
              <w:t>”</w:t>
            </w:r>
            <w:r>
              <w:rPr>
                <w:rFonts w:hint="eastAsia" w:ascii="黑体" w:hAnsi="黑体" w:eastAsia="楷体" w:cs="黑体"/>
                <w:snapToGrid w:val="0"/>
                <w:color w:val="1A202C"/>
                <w:sz w:val="24"/>
                <w:szCs w:val="24"/>
                <w:lang w:bidi="ar"/>
              </w:rPr>
              <w:t>原则的居民自主更新模式。</w:t>
            </w:r>
          </w:p>
        </w:tc>
        <w:tc>
          <w:tcPr>
            <w:tcW w:w="3007" w:type="dxa"/>
            <w:shd w:val="clear" w:color="auto" w:fill="B8CCE4" w:themeFill="accent1" w:themeFillTint="66"/>
          </w:tcPr>
          <w:p w14:paraId="5CD21195">
            <w:pPr>
              <w:snapToGrid w:val="0"/>
              <w:spacing w:after="200" w:line="360" w:lineRule="auto"/>
              <w:ind w:firstLine="0"/>
              <w:jc w:val="left"/>
              <w:textAlignment w:val="center"/>
              <w:rPr>
                <w:rFonts w:hint="eastAsia" w:ascii="黑体" w:hAnsi="黑体" w:eastAsia="楷体" w:cs="黑体"/>
                <w:snapToGrid w:val="0"/>
                <w:color w:val="1A202C"/>
                <w:sz w:val="24"/>
                <w:szCs w:val="24"/>
                <w:lang w:bidi="ar"/>
              </w:rPr>
            </w:pPr>
            <w:r>
              <w:rPr>
                <w:rFonts w:hint="eastAsia" w:ascii="黑体" w:hAnsi="黑体" w:eastAsia="楷体" w:cs="黑体"/>
                <w:snapToGrid w:val="0"/>
                <w:color w:val="1A202C"/>
                <w:sz w:val="24"/>
                <w:szCs w:val="24"/>
                <w:lang w:bidi="ar"/>
              </w:rPr>
              <w:t>上海推行历史街区与老旧社区的精细化</w:t>
            </w:r>
            <w:r>
              <w:rPr>
                <w:rFonts w:hint="eastAsia" w:ascii="黑体" w:hAnsi="黑体" w:eastAsia="楷体" w:cs="黑体"/>
                <w:snapToGrid w:val="0"/>
                <w:color w:val="1A202C"/>
                <w:szCs w:val="24"/>
                <w:lang w:bidi="ar"/>
              </w:rPr>
              <w:t>微改造</w:t>
            </w:r>
            <w:r>
              <w:rPr>
                <w:rFonts w:hint="eastAsia" w:ascii="黑体" w:hAnsi="黑体" w:eastAsia="楷体" w:cs="黑体"/>
                <w:snapToGrid w:val="0"/>
                <w:color w:val="1A202C"/>
                <w:sz w:val="24"/>
                <w:szCs w:val="24"/>
                <w:lang w:bidi="ar"/>
              </w:rPr>
              <w:t>；杭州浙工新村成功探索</w:t>
            </w:r>
            <w:r>
              <w:rPr>
                <w:rFonts w:hint="eastAsia" w:ascii="黑体" w:hAnsi="黑体" w:eastAsia="楷体" w:cs="黑体"/>
                <w:snapToGrid w:val="0"/>
                <w:color w:val="1A202C"/>
                <w:szCs w:val="24"/>
                <w:lang w:bidi="ar"/>
              </w:rPr>
              <w:t>“</w:t>
            </w:r>
            <w:r>
              <w:rPr>
                <w:rFonts w:hint="eastAsia" w:ascii="黑体" w:hAnsi="黑体" w:eastAsia="楷体" w:cs="黑体"/>
                <w:snapToGrid w:val="0"/>
                <w:color w:val="1A202C"/>
                <w:sz w:val="24"/>
                <w:szCs w:val="24"/>
                <w:lang w:bidi="ar"/>
              </w:rPr>
              <w:t>自主更新、原拆原建</w:t>
            </w:r>
            <w:r>
              <w:rPr>
                <w:rFonts w:hint="eastAsia" w:ascii="黑体" w:hAnsi="黑体" w:eastAsia="楷体" w:cs="黑体"/>
                <w:snapToGrid w:val="0"/>
                <w:color w:val="1A202C"/>
                <w:szCs w:val="24"/>
                <w:lang w:bidi="ar"/>
              </w:rPr>
              <w:t>”</w:t>
            </w:r>
            <w:r>
              <w:rPr>
                <w:rFonts w:hint="eastAsia" w:ascii="黑体" w:hAnsi="黑体" w:eastAsia="楷体" w:cs="黑体"/>
                <w:snapToGrid w:val="0"/>
                <w:color w:val="1A202C"/>
                <w:sz w:val="24"/>
                <w:szCs w:val="24"/>
                <w:lang w:bidi="ar"/>
              </w:rPr>
              <w:t>模式</w:t>
            </w:r>
            <w:r>
              <w:rPr>
                <w:rFonts w:hint="eastAsia" w:ascii="黑体" w:hAnsi="黑体" w:eastAsia="楷体" w:cs="黑体"/>
                <w:snapToGrid w:val="0"/>
                <w:color w:val="1A202C"/>
                <w:szCs w:val="24"/>
                <w:lang w:bidi="ar"/>
              </w:rPr>
              <w:t>。</w:t>
            </w:r>
          </w:p>
        </w:tc>
      </w:tr>
    </w:tbl>
    <w:p w14:paraId="1FC438AD">
      <w:pPr>
        <w:ind w:firstLine="560" w:firstLineChars="200"/>
        <w:rPr>
          <w:sz w:val="28"/>
          <w:szCs w:val="24"/>
        </w:rPr>
      </w:pPr>
    </w:p>
    <w:p w14:paraId="669F19F2">
      <w:pPr>
        <w:pStyle w:val="4"/>
        <w:spacing w:line="360" w:lineRule="auto"/>
      </w:pPr>
      <w:bookmarkStart w:id="4" w:name="_Toc18211"/>
      <w:r>
        <w:rPr>
          <w:rFonts w:hint="eastAsia"/>
        </w:rPr>
        <w:t>（二）存量时代的法治瓶颈与刚性制约</w:t>
      </w:r>
      <w:bookmarkEnd w:id="4"/>
    </w:p>
    <w:p w14:paraId="669F19F3">
      <w:pPr>
        <w:ind w:firstLine="560" w:firstLineChars="200"/>
        <w:rPr>
          <w:sz w:val="28"/>
          <w:szCs w:val="24"/>
        </w:rPr>
      </w:pPr>
      <w:r>
        <w:rPr>
          <w:rFonts w:hint="eastAsia"/>
          <w:sz w:val="28"/>
          <w:szCs w:val="24"/>
        </w:rPr>
        <w:t>穿透繁复的模式表象，我们在法律实务中清晰地察觉到，我国目前的城市更新正面临深层次的制度性梗阻。我国现行的《土地管理法》《城乡规划法》等一般法，基本是为“增量扩张为主时代”量身定制的。</w:t>
      </w:r>
    </w:p>
    <w:p w14:paraId="669F19F4">
      <w:pPr>
        <w:ind w:firstLine="560" w:firstLineChars="200"/>
        <w:rPr>
          <w:sz w:val="28"/>
          <w:szCs w:val="24"/>
        </w:rPr>
      </w:pPr>
      <w:r>
        <w:rPr>
          <w:rFonts w:hint="eastAsia"/>
          <w:sz w:val="28"/>
          <w:szCs w:val="24"/>
        </w:rPr>
        <w:t>这种制度刚性在更新实践中暴露出诸多水土不服：传统的控制性详细规划难以应对复杂的三维空间重塑需求；严格的土地用途管制限制了“用途合理转换”与“混合开发”的实施空间；定制化的用地条件和一次性的土地出让金收取方式，使得社会资本与物业权利人自主参与更新缺乏合规的收益回报与退出渠道。</w:t>
      </w:r>
    </w:p>
    <w:p w14:paraId="669F19F5">
      <w:pPr>
        <w:pStyle w:val="4"/>
        <w:spacing w:line="360" w:lineRule="auto"/>
      </w:pPr>
      <w:bookmarkStart w:id="5" w:name="_Toc15276"/>
      <w:r>
        <w:rPr>
          <w:rFonts w:hint="eastAsia"/>
        </w:rPr>
        <w:t>（三）他山之石：域外“都市再生”经验的制度启示</w:t>
      </w:r>
      <w:bookmarkEnd w:id="5"/>
    </w:p>
    <w:p w14:paraId="669F19F6">
      <w:pPr>
        <w:ind w:firstLine="560" w:firstLineChars="200"/>
        <w:rPr>
          <w:sz w:val="28"/>
          <w:szCs w:val="24"/>
        </w:rPr>
      </w:pPr>
      <w:r>
        <w:rPr>
          <w:rFonts w:hint="eastAsia"/>
          <w:sz w:val="28"/>
          <w:szCs w:val="24"/>
        </w:rPr>
        <w:t>面对上述制度性梗阻，我们在总结本土经验的同时，更需放眼国际，汲取成熟法治体系的经验。日本在城市再生领域起步于二十世纪六七十年代，经过半个多世纪的完善，形成了以《城市再开发法》《都市再生特别措施法》为核心、规划与法律紧密结合的双轨制制度体系，其特点在于通过特别法创设弹性程序、建立权利变换机制、明确政府与市场的协同角色，实现了更新流程的规范化与高效化。</w:t>
      </w:r>
    </w:p>
    <w:p w14:paraId="669F19F7">
      <w:pPr>
        <w:ind w:firstLine="560" w:firstLineChars="200"/>
        <w:rPr>
          <w:sz w:val="28"/>
          <w:szCs w:val="24"/>
        </w:rPr>
      </w:pPr>
      <w:r>
        <w:rPr>
          <w:rFonts w:hint="eastAsia"/>
          <w:sz w:val="28"/>
          <w:szCs w:val="24"/>
        </w:rPr>
        <w:t>日本这种“规划牵引、法律护航、权利互换、政府引导与民间参与相结合”的成熟体系，为我国破解当前城市更新中产权整合难、规划调整僵化、实施主体权责模糊等痛点，提供了极具价值的实务参考和立法镜鉴。</w:t>
      </w:r>
    </w:p>
    <w:p w14:paraId="669F19F8">
      <w:pPr>
        <w:ind w:firstLine="560" w:firstLineChars="200"/>
        <w:rPr>
          <w:sz w:val="28"/>
          <w:szCs w:val="24"/>
        </w:rPr>
      </w:pPr>
      <w:r>
        <w:rPr>
          <w:rFonts w:hint="eastAsia"/>
          <w:sz w:val="28"/>
          <w:szCs w:val="24"/>
        </w:rPr>
        <w:t>从“增量扩张”迈向“存量提质”，绝非单纯的空间物理形态改造，而是背后深层法律关系与利益格局的重塑。本报告将以中央城市工作会议精神为指引，深度剖析高质量城市更新中的核心法律关系。通过对标日本“都市再生”等域外先进法治经验，力图为重构适应存量时代要求的城市更新法律制度、护航人民城市建设，提供兼具前瞻性与可操作性的破局之策。</w:t>
      </w:r>
    </w:p>
    <w:p w14:paraId="669F19F9">
      <w:pPr>
        <w:pStyle w:val="3"/>
        <w:spacing w:line="360" w:lineRule="auto"/>
      </w:pPr>
      <w:bookmarkStart w:id="6" w:name="_Toc16884"/>
      <w:r>
        <w:rPr>
          <w:rFonts w:hint="eastAsia"/>
        </w:rPr>
        <w:t>一、城市更新中的关键法律机制</w:t>
      </w:r>
      <w:bookmarkEnd w:id="6"/>
    </w:p>
    <w:p w14:paraId="669F19FA">
      <w:pPr>
        <w:ind w:firstLine="560" w:firstLineChars="200"/>
        <w:rPr>
          <w:sz w:val="28"/>
          <w:szCs w:val="24"/>
        </w:rPr>
      </w:pPr>
      <w:r>
        <w:rPr>
          <w:rFonts w:hint="eastAsia"/>
          <w:sz w:val="28"/>
          <w:szCs w:val="24"/>
        </w:rPr>
        <w:t>从“增量扩张”向“存量提质”的转型过程中，城市更新已不仅是单纯的物理空间改造，而是基于产权、事权与财权的复杂利益重组。在这一过程中，现行适用于增量开发的传统法律框架呈现出明显的制度刚性，催生了一系列亟待破解的法律实务问题。本章将从启动与申报、规划与许可、城市更新项目的投融资以及物权归集四个维度，深度剖析城市更新面临的关键法律问题。</w:t>
      </w:r>
    </w:p>
    <w:p w14:paraId="669F19FB">
      <w:pPr>
        <w:pStyle w:val="4"/>
        <w:spacing w:line="360" w:lineRule="auto"/>
      </w:pPr>
      <w:bookmarkStart w:id="7" w:name="_Toc2277"/>
      <w:r>
        <w:rPr>
          <w:rFonts w:hint="eastAsia"/>
        </w:rPr>
        <w:t>（一）城市更新项目的启动与申报</w:t>
      </w:r>
      <w:bookmarkEnd w:id="7"/>
    </w:p>
    <w:p w14:paraId="669F19FC">
      <w:pPr>
        <w:rPr>
          <w:sz w:val="28"/>
          <w:szCs w:val="24"/>
        </w:rPr>
      </w:pPr>
      <w:r>
        <w:rPr>
          <w:rFonts w:hint="eastAsia"/>
          <w:sz w:val="28"/>
          <w:szCs w:val="24"/>
        </w:rPr>
        <w:t>在城市更新的前期阶段，首要的法律问题在于“启动权”的归属与行使。由于各城市在更新理念与治理模式上的差异，启动与申报环节呈现出行政权力与市场私权之间不同程度的博弈与协同，目前主要形成了三种运作路径：</w:t>
      </w:r>
    </w:p>
    <w:p w14:paraId="669F19FD">
      <w:pPr>
        <w:rPr>
          <w:sz w:val="28"/>
          <w:szCs w:val="24"/>
        </w:rPr>
      </w:pPr>
      <w:r>
        <w:rPr>
          <w:rFonts w:hint="eastAsia"/>
          <w:sz w:val="28"/>
          <w:szCs w:val="24"/>
        </w:rPr>
        <w:t>1.“自上而下”的行政主导模式。以广州、成都等地为代表，其城市更新的专项规划、实施片区的划定以及片区策划方案的编制，均由政府及其相关部门主导完成。在这种模式下，行政公权掌握了绝对的启动权，市场主体仅在后期的项目实施环节中参与建设，有利于政府强有力地统筹空间资源，但对市场主体主动参与的驱动力有一定考验。</w:t>
      </w:r>
    </w:p>
    <w:p w14:paraId="669F19FE">
      <w:pPr>
        <w:rPr>
          <w:sz w:val="28"/>
          <w:szCs w:val="24"/>
        </w:rPr>
      </w:pPr>
      <w:r>
        <w:rPr>
          <w:rFonts w:hint="eastAsia"/>
          <w:sz w:val="28"/>
          <w:szCs w:val="24"/>
        </w:rPr>
        <w:t>2.“自下而上”的市场申请与统筹模式。深圳是这一模式的典型代表，其制度赋予了市场和私权极大的自主空间。物业权利人（如村集体经济组织）和市场主体可以作为申报主体，依法自主拟定更新单元、编制更新单元计划并向政府提出申请。这本质上是一种由私有产权和市场资本触发行政审批程序的法律关系，高度依赖完备的制度约束以防止过度商业化。</w:t>
      </w:r>
    </w:p>
    <w:p w14:paraId="669F19FF">
      <w:pPr>
        <w:rPr>
          <w:sz w:val="28"/>
          <w:szCs w:val="24"/>
        </w:rPr>
      </w:pPr>
      <w:r>
        <w:rPr>
          <w:rFonts w:hint="eastAsia"/>
          <w:sz w:val="28"/>
          <w:szCs w:val="24"/>
        </w:rPr>
        <w:t>3.“上下结合”的政企协作模式。如沈阳、重庆等地，采取了政府统筹谋划与市场主体策划相结合的折中路径。在总体层面的更新计划由政府统筹编制，但在划定更新片区后，允许前期业主或意向实施主体参与编制片区策划方案，实现了行政公权主导下的市场意图前置。</w:t>
      </w:r>
    </w:p>
    <w:p w14:paraId="669F1A00">
      <w:pPr>
        <w:pStyle w:val="4"/>
        <w:spacing w:line="360" w:lineRule="auto"/>
      </w:pPr>
      <w:bookmarkStart w:id="8" w:name="_Toc22120"/>
      <w:r>
        <w:rPr>
          <w:rFonts w:hint="eastAsia"/>
        </w:rPr>
        <w:t>（二）与城市更新相关的空间重塑的规划需求</w:t>
      </w:r>
      <w:bookmarkEnd w:id="8"/>
    </w:p>
    <w:p w14:paraId="669F1A01">
      <w:pPr>
        <w:rPr>
          <w:sz w:val="28"/>
          <w:szCs w:val="24"/>
        </w:rPr>
      </w:pPr>
      <w:r>
        <w:rPr>
          <w:rFonts w:hint="eastAsia"/>
          <w:sz w:val="28"/>
          <w:szCs w:val="24"/>
        </w:rPr>
        <w:t>实施城市更新，必须面对《城乡规划法》等一般法带来的制度约束，在建成区的更新实务中，项目往往面临从传统的二维指标管控向聚焦街区/地块尺度的三维空间开发管理转变的客观事实。</w:t>
      </w:r>
    </w:p>
    <w:p w14:paraId="669F1A02">
      <w:pPr>
        <w:rPr>
          <w:sz w:val="28"/>
          <w:szCs w:val="24"/>
        </w:rPr>
      </w:pPr>
      <w:r>
        <w:rPr>
          <w:rFonts w:hint="eastAsia"/>
          <w:sz w:val="28"/>
          <w:szCs w:val="24"/>
        </w:rPr>
        <w:t>第一，要突破法定图则的单元规划操作。在部分市场主导的城市更新中，实施主体为了实现空间腾挪与零散地块整合，其实际操作往往需要突破既有的控制性详细规划。实务中，部分地方通过设立“更新单元规划”制度，允许其在获批后直接替代原法定图则的相关内容，以满足复杂的空间重塑需求。</w:t>
      </w:r>
    </w:p>
    <w:p w14:paraId="669F1A03">
      <w:pPr>
        <w:rPr>
          <w:sz w:val="28"/>
          <w:szCs w:val="24"/>
        </w:rPr>
      </w:pPr>
      <w:r>
        <w:rPr>
          <w:rFonts w:hint="eastAsia"/>
          <w:sz w:val="28"/>
          <w:szCs w:val="24"/>
        </w:rPr>
        <w:t>第二，是基于三维形态的激励对价。实务中的老旧小区微更新、历史街区活化等项目，大量涉及跨地块容积率转移、建筑高度调整或立体绿化。为了实现这些诉求，城市设计作为一种直观的三维形态塑造和调整工具，在当前部分地方的实务管理中被用作支撑容积率奖励、绿化奖励等激励政策的评估依据。</w:t>
      </w:r>
    </w:p>
    <w:p w14:paraId="669F1A04">
      <w:pPr>
        <w:pStyle w:val="4"/>
        <w:spacing w:line="360" w:lineRule="auto"/>
      </w:pPr>
      <w:bookmarkStart w:id="9" w:name="_Toc14280"/>
      <w:r>
        <w:rPr>
          <w:rFonts w:hint="eastAsia"/>
        </w:rPr>
        <w:t>（三）城市更新项目的投融资与合同网络</w:t>
      </w:r>
      <w:bookmarkEnd w:id="9"/>
    </w:p>
    <w:p w14:paraId="669F1A05">
      <w:pPr>
        <w:ind w:firstLine="560" w:firstLineChars="200"/>
        <w:rPr>
          <w:sz w:val="28"/>
          <w:szCs w:val="24"/>
        </w:rPr>
      </w:pPr>
      <w:r>
        <w:rPr>
          <w:rFonts w:hint="eastAsia"/>
          <w:sz w:val="28"/>
          <w:szCs w:val="24"/>
        </w:rPr>
        <w:t>城市更新项目普遍面临资金需求量大、回报周期长的问题。在防范地方政府隐性债务风险的严监管背景下，项目投融资模式的选择直接决定了实施主体间的契约性质，形成了复杂的行政协议与民商事合同网络。</w:t>
      </w:r>
    </w:p>
    <w:p w14:paraId="669F1A06">
      <w:pPr>
        <w:ind w:firstLine="560" w:firstLineChars="200"/>
        <w:rPr>
          <w:sz w:val="28"/>
          <w:szCs w:val="24"/>
        </w:rPr>
      </w:pPr>
      <w:r>
        <w:rPr>
          <w:rFonts w:hint="eastAsia"/>
          <w:sz w:val="28"/>
          <w:szCs w:val="24"/>
        </w:rPr>
        <w:t>1.政府主导下的债务与采购合同。在棚户区改造等公益性较强的项目中，早期多采用政府购买服务模式，后随着监管趋严，逐渐转向发行地方政府棚改专项债券进行融资。这种模式突出了“总量控制”与“专款专用”，将隐性债务显性化，确立了政府与债券投资者之间的规范金融债务关系。</w:t>
      </w:r>
    </w:p>
    <w:p w14:paraId="669F1A07">
      <w:pPr>
        <w:ind w:firstLine="560" w:firstLineChars="200"/>
        <w:rPr>
          <w:sz w:val="28"/>
          <w:szCs w:val="24"/>
        </w:rPr>
      </w:pPr>
      <w:r>
        <w:rPr>
          <w:rFonts w:hint="eastAsia"/>
          <w:sz w:val="28"/>
          <w:szCs w:val="24"/>
        </w:rPr>
        <w:t>2.PPP与ABO模式下的公私合作。针对有一定收益的城市有机更新项目，地方政府广泛引入PPP（政府和社会资本合作）模式，通过签订特许经营协议（如BOT、ROT），赋予社会资本一定期限内的运营权与收益权。同时，实务中还衍生出政府主导性更强的ABO（授权－建设－运营）模式，即政府通过出台文件或签订协议，将项目的投资、建设、运营权直接授予地方国企平台，国企平台再通过招投标与社会资本形成合作契约。</w:t>
      </w:r>
    </w:p>
    <w:p w14:paraId="669F1A08">
      <w:pPr>
        <w:ind w:firstLine="560" w:firstLineChars="200"/>
        <w:rPr>
          <w:sz w:val="28"/>
          <w:szCs w:val="24"/>
        </w:rPr>
      </w:pPr>
      <w:r>
        <w:rPr>
          <w:rFonts w:hint="eastAsia"/>
          <w:sz w:val="28"/>
          <w:szCs w:val="24"/>
        </w:rPr>
        <w:t>3.“政—企—民”三方联合的租赁与运营合同。在城中村综合整治等微更新中，涌现出多方利益共享的民事契约网络。例如深圳水围村项目，由村集体股份公司与村民签订租房合同进行统租，再微加价转租给社会资本方进行改造与后续运营，最后由政府承租并作为人才公寓统一配租。这构成了一整套紧密嵌套的连环租赁与委托运营的民商事合同关系。</w:t>
      </w:r>
    </w:p>
    <w:p w14:paraId="669F1A09">
      <w:pPr>
        <w:pStyle w:val="4"/>
        <w:spacing w:line="360" w:lineRule="auto"/>
      </w:pPr>
      <w:bookmarkStart w:id="10" w:name="_Toc25373"/>
      <w:r>
        <w:rPr>
          <w:rFonts w:hint="eastAsia"/>
        </w:rPr>
        <w:t>（四）城市更新项目的权利归集与物权流转</w:t>
      </w:r>
      <w:bookmarkEnd w:id="10"/>
    </w:p>
    <w:p w14:paraId="669F1A0A">
      <w:pPr>
        <w:ind w:firstLine="560" w:firstLineChars="200"/>
        <w:rPr>
          <w:sz w:val="28"/>
          <w:szCs w:val="24"/>
        </w:rPr>
      </w:pPr>
      <w:r>
        <w:rPr>
          <w:rFonts w:hint="eastAsia"/>
          <w:sz w:val="28"/>
          <w:szCs w:val="24"/>
        </w:rPr>
        <w:t>城市更新项目地块上往往存在高度分散的产权，极易引发“反公地悲剧</w:t>
      </w:r>
      <w:r>
        <w:rPr>
          <w:rStyle w:val="18"/>
          <w:sz w:val="28"/>
          <w:szCs w:val="24"/>
        </w:rPr>
        <w:footnoteReference w:id="0"/>
      </w:r>
      <w:r>
        <w:rPr>
          <w:rFonts w:hint="eastAsia"/>
          <w:sz w:val="28"/>
          <w:szCs w:val="24"/>
        </w:rPr>
        <w:t>”，导致整体空间资源利用低效或更新陷入僵局。为了满足《城乡规划法》等要求统一提交土地使用证明的行政报批条件，必须在法律上完成“权利归集”。权利归集的客体不仅包括私有房屋的所有权和国有土地使用权，在上海等地，公有房屋的承租权也依法成为权利归集的客体。</w:t>
      </w:r>
    </w:p>
    <w:p w14:paraId="669F1A0B">
      <w:pPr>
        <w:ind w:firstLine="560" w:firstLineChars="200"/>
        <w:rPr>
          <w:sz w:val="28"/>
          <w:szCs w:val="24"/>
        </w:rPr>
      </w:pPr>
      <w:r>
        <w:rPr>
          <w:rFonts w:hint="eastAsia"/>
          <w:sz w:val="28"/>
          <w:szCs w:val="24"/>
        </w:rPr>
        <w:t>权利归集的模式则包括：（1）物权式权利归集。这种模式以权利的实质转移为特征。原权利人将房地产权益转移给实施主体（平台公司或开发商），由其办理注销及首次登记，以便统一申请规划许可。其中既有业主拿补偿退出更新的“终局性归集”，也有仅在建设实施期间由实施主体代持产权的“过渡性归集”。（2）债权式权利归集。此模式不发生不动产权利的实质转移。原产权人不转移所有权，而是通过签订协议，共同委托单一实施主体统一办理行政报批、房屋拆除、施工建设等手续。</w:t>
      </w:r>
    </w:p>
    <w:p w14:paraId="669F1A0C">
      <w:pPr>
        <w:pStyle w:val="3"/>
        <w:spacing w:line="360" w:lineRule="auto"/>
      </w:pPr>
      <w:bookmarkStart w:id="11" w:name="_Toc11058"/>
      <w:r>
        <w:rPr>
          <w:rFonts w:hint="eastAsia"/>
        </w:rPr>
        <w:t>二、现行城市更新法律制度的瓶颈</w:t>
      </w:r>
      <w:bookmarkEnd w:id="11"/>
    </w:p>
    <w:p w14:paraId="669F1A0D">
      <w:pPr>
        <w:ind w:firstLine="560" w:firstLineChars="200"/>
        <w:rPr>
          <w:rFonts w:hint="eastAsia" w:ascii="宋体" w:hAnsi="宋体" w:cs="宋体"/>
          <w:sz w:val="28"/>
          <w:szCs w:val="28"/>
        </w:rPr>
      </w:pPr>
      <w:r>
        <w:rPr>
          <w:rFonts w:hint="eastAsia" w:ascii="宋体" w:hAnsi="宋体" w:cs="宋体"/>
          <w:sz w:val="28"/>
          <w:szCs w:val="28"/>
        </w:rPr>
        <w:t>我国现行的房地产与建设领域基础性法律框架，主要是在过去三十多年“增量扩张”与“土地财政”的历史大背景下构建的。其底层逻辑在于规范新增土地的“征收—出让—开发”链条。当这一套服务于“白纸画图”的刚性法律体系，被直接适用于产权关系错综复杂、空间高度饱和的“存量提质”阶段时，必然在多维度产生深刻的规范冲突与适用困境。</w:t>
      </w:r>
    </w:p>
    <w:p w14:paraId="669F1A0E">
      <w:pPr>
        <w:pStyle w:val="4"/>
        <w:spacing w:line="360" w:lineRule="auto"/>
      </w:pPr>
      <w:bookmarkStart w:id="12" w:name="_Toc2915"/>
      <w:r>
        <w:rPr>
          <w:rFonts w:hint="eastAsia"/>
        </w:rPr>
        <w:t>（一）《城乡规划法》的二维刚性与空间重塑的错位</w:t>
      </w:r>
      <w:bookmarkEnd w:id="12"/>
    </w:p>
    <w:p w14:paraId="669F1A0F">
      <w:pPr>
        <w:ind w:firstLine="560" w:firstLineChars="200"/>
        <w:rPr>
          <w:rFonts w:hint="eastAsia" w:ascii="宋体" w:hAnsi="宋体" w:cs="宋体"/>
          <w:sz w:val="28"/>
          <w:szCs w:val="28"/>
        </w:rPr>
      </w:pPr>
      <w:r>
        <w:rPr>
          <w:rFonts w:hint="eastAsia" w:ascii="宋体" w:hAnsi="宋体" w:cs="宋体"/>
          <w:sz w:val="28"/>
          <w:szCs w:val="28"/>
        </w:rPr>
        <w:t>当下的《城乡规划法》的核心管理工具是控制性详细规划（控规），这种基于二维地块的刚性指标管控在城市更新中面临极大的水土不服。</w:t>
      </w:r>
    </w:p>
    <w:p w14:paraId="669F1A10">
      <w:pPr>
        <w:ind w:firstLine="560" w:firstLineChars="200"/>
        <w:rPr>
          <w:rFonts w:hint="eastAsia" w:ascii="宋体" w:hAnsi="宋体" w:cs="宋体"/>
          <w:sz w:val="28"/>
          <w:szCs w:val="28"/>
        </w:rPr>
      </w:pPr>
      <w:r>
        <w:rPr>
          <w:rFonts w:hint="eastAsia" w:ascii="宋体" w:hAnsi="宋体" w:cs="宋体"/>
          <w:sz w:val="28"/>
          <w:szCs w:val="28"/>
        </w:rPr>
        <w:t>“牵一发而动全身”的规划调整困境。城市更新往往需要对老旧街区进行功能混合、容积率提升或建筑形态微调。然而，现行法定图则及控规指标一旦确定，调整程序极其繁琐冗长。在缺乏国家层面“更新单元规划”上位法依据的情况下，地方性的控规局部调整往往面临合法性审查的阻碍。</w:t>
      </w:r>
    </w:p>
    <w:p w14:paraId="669F1A11">
      <w:pPr>
        <w:ind w:firstLine="560" w:firstLineChars="200"/>
        <w:rPr>
          <w:rFonts w:hint="eastAsia" w:ascii="宋体" w:hAnsi="宋体" w:cs="宋体"/>
          <w:sz w:val="28"/>
          <w:szCs w:val="28"/>
        </w:rPr>
      </w:pPr>
      <w:r>
        <w:rPr>
          <w:rFonts w:hint="eastAsia" w:ascii="宋体" w:hAnsi="宋体" w:cs="宋体"/>
          <w:sz w:val="28"/>
          <w:szCs w:val="28"/>
        </w:rPr>
        <w:t>另一项问题，则是空间弹性与代偿机制的制度空白。高质量城市更新强调“土地混合开发利用”与“用途合理转换”，但在现行法下，商业、办公、居住、工业等用地界限泾渭分明，跨性质混合使用的审批缺乏法定通道。同时，为了平衡项目资金或提供公共设施所亟需的“容积率奖励”“跨地块容积率转移”等弹性空间代偿机制，目前仅停留在部分城市的政策试点层面，尚未获得上位法的明确授权。</w:t>
      </w:r>
    </w:p>
    <w:p w14:paraId="669F1A12">
      <w:pPr>
        <w:pStyle w:val="4"/>
        <w:spacing w:line="360" w:lineRule="auto"/>
      </w:pPr>
      <w:bookmarkStart w:id="13" w:name="_Toc15733"/>
      <w:r>
        <w:rPr>
          <w:rFonts w:hint="eastAsia"/>
        </w:rPr>
        <w:t>（二）《土地管理法》的流转限制与供地模式冲突</w:t>
      </w:r>
      <w:bookmarkEnd w:id="13"/>
    </w:p>
    <w:p w14:paraId="669F1A13">
      <w:pPr>
        <w:ind w:firstLine="560" w:firstLineChars="200"/>
        <w:rPr>
          <w:rFonts w:hint="eastAsia" w:ascii="宋体" w:hAnsi="宋体" w:cs="宋体"/>
          <w:sz w:val="28"/>
          <w:szCs w:val="28"/>
        </w:rPr>
      </w:pPr>
      <w:r>
        <w:rPr>
          <w:rFonts w:hint="eastAsia" w:ascii="宋体" w:hAnsi="宋体" w:cs="宋体"/>
          <w:sz w:val="28"/>
          <w:szCs w:val="28"/>
        </w:rPr>
        <w:t>《土地管理法》及其配套制度确立的严格土地用途管制与“净地出让”原则，构成了当前社会资本参与城市更新的制度瓶颈。</w:t>
      </w:r>
    </w:p>
    <w:p w14:paraId="669F1A14">
      <w:pPr>
        <w:ind w:firstLine="560" w:firstLineChars="200"/>
        <w:rPr>
          <w:rFonts w:hint="eastAsia" w:ascii="宋体" w:hAnsi="宋体" w:cs="宋体"/>
          <w:sz w:val="28"/>
          <w:szCs w:val="28"/>
        </w:rPr>
      </w:pPr>
      <w:r>
        <w:rPr>
          <w:rFonts w:hint="eastAsia" w:ascii="宋体" w:hAnsi="宋体" w:cs="宋体"/>
          <w:sz w:val="28"/>
          <w:szCs w:val="28"/>
        </w:rPr>
        <w:t>首先，是“净地出让”与“带方案/带建筑物出让”的矛盾。现行制度要求政府必须在完成拆迁补偿、土地平整（即“净地”）后，方可将土地纳入储备并重新“招拍挂”出让。但在复杂的城市更新项目中，由政府承担全额的前期拆迁资金和时间成本已不现实。市场呼唤的“带建筑物出让”“协议出让”或原土储联合开发等模式，因涉嫌规避“招拍挂”红线，常使地方政府与开发企业陷入合规风险。</w:t>
      </w:r>
    </w:p>
    <w:p w14:paraId="669F1A15">
      <w:pPr>
        <w:ind w:firstLine="560" w:firstLineChars="200"/>
        <w:rPr>
          <w:rFonts w:hint="eastAsia" w:ascii="宋体" w:hAnsi="宋体" w:cs="宋体"/>
          <w:sz w:val="28"/>
          <w:szCs w:val="28"/>
        </w:rPr>
      </w:pPr>
      <w:r>
        <w:rPr>
          <w:rFonts w:hint="eastAsia" w:ascii="宋体" w:hAnsi="宋体" w:cs="宋体"/>
          <w:sz w:val="28"/>
          <w:szCs w:val="28"/>
        </w:rPr>
        <w:t>其次，是地价核算与土地增值收益分配的失衡。城市更新项目由于前期拆迁安置成本极其高昂，若在变更土地用途或增加容积率时，仍按照新增建设用地的标准补缴全额土地出让金，将直接击穿项目的财务平衡底线。现行法律尚缺乏一套专门针对存量低效用地再开发的、能够合理分摊公共成本的地价评估与收益让渡标准。</w:t>
      </w:r>
    </w:p>
    <w:p w14:paraId="669F1A16">
      <w:pPr>
        <w:pStyle w:val="4"/>
        <w:spacing w:line="360" w:lineRule="auto"/>
      </w:pPr>
      <w:bookmarkStart w:id="14" w:name="_Toc31614"/>
      <w:r>
        <w:rPr>
          <w:rFonts w:hint="eastAsia"/>
        </w:rPr>
        <w:t>（三）《民法典》物权绝对性与公共利益的平衡僵局</w:t>
      </w:r>
      <w:bookmarkEnd w:id="14"/>
    </w:p>
    <w:p w14:paraId="669F1A17">
      <w:pPr>
        <w:ind w:firstLine="560" w:firstLineChars="200"/>
        <w:rPr>
          <w:rFonts w:hint="eastAsia" w:ascii="宋体" w:hAnsi="宋体" w:cs="宋体"/>
          <w:sz w:val="28"/>
          <w:szCs w:val="28"/>
        </w:rPr>
      </w:pPr>
      <w:r>
        <w:rPr>
          <w:rFonts w:hint="eastAsia" w:ascii="宋体" w:hAnsi="宋体" w:cs="宋体"/>
          <w:sz w:val="28"/>
          <w:szCs w:val="28"/>
        </w:rPr>
        <w:t>在城市更新的权利归集与实施阶段，《民法典》中对于建筑物区分所有权的保护规则，在应对老旧小区改造或城中村拆除重建时，极易演变为“反公地悲剧”。</w:t>
      </w:r>
    </w:p>
    <w:p w14:paraId="669F1A18">
      <w:pPr>
        <w:ind w:firstLine="560" w:firstLineChars="200"/>
        <w:rPr>
          <w:rFonts w:hint="eastAsia" w:ascii="宋体" w:hAnsi="宋体" w:cs="宋体"/>
          <w:sz w:val="28"/>
          <w:szCs w:val="28"/>
        </w:rPr>
      </w:pPr>
      <w:r>
        <w:rPr>
          <w:rFonts w:hint="eastAsia" w:ascii="宋体" w:hAnsi="宋体" w:cs="宋体"/>
          <w:sz w:val="28"/>
          <w:szCs w:val="28"/>
        </w:rPr>
        <w:t>依据《民法典》第二百七十八条，改建、重建建筑物及其附属设施，需由专有部分面积占比三分之二以上的业主且人数占比三分之二以上的业主参与表决，并经参与表决的“双四分之三”同意。这一极高的表决门槛，在产权分散、利益诉求各异的既成街区中极难达成，导致大量危旧房改造项目在启动阶段即告流产。</w:t>
      </w:r>
    </w:p>
    <w:p w14:paraId="669F1A19">
      <w:pPr>
        <w:ind w:firstLine="560" w:firstLineChars="200"/>
        <w:rPr>
          <w:rFonts w:hint="eastAsia" w:ascii="宋体" w:hAnsi="宋体" w:cs="宋体"/>
          <w:sz w:val="28"/>
          <w:szCs w:val="28"/>
        </w:rPr>
      </w:pPr>
      <w:r>
        <w:rPr>
          <w:rFonts w:hint="eastAsia" w:ascii="宋体" w:hAnsi="宋体" w:cs="宋体"/>
          <w:sz w:val="28"/>
          <w:szCs w:val="28"/>
        </w:rPr>
        <w:t>当前的法律制度也缺乏应对极少数“钉子户”的法定退出与强制机制。当绝大多数（如95%以上）业主已同意更新并签约，而极少数权利人因谋求超额利益拒绝搬迁时，现行《民法典》并未提供类似于企业破产法中的“强制批准”机制。由于商业性城市更新难以直接适用《国有土地上房屋征收与补偿条例》中的“公共利益”征收条款，项目往往因个别业主的抵制而无限期停滞，导致多数人的改善居住权与社会公共利益受损。</w:t>
      </w:r>
    </w:p>
    <w:p w14:paraId="669F1A1A">
      <w:pPr>
        <w:pStyle w:val="4"/>
        <w:spacing w:line="360" w:lineRule="auto"/>
      </w:pPr>
      <w:bookmarkStart w:id="15" w:name="_Toc8212"/>
      <w:r>
        <w:rPr>
          <w:rFonts w:hint="eastAsia"/>
        </w:rPr>
        <w:t>（四）财税制度的错配与高昂的交易摩擦成本</w:t>
      </w:r>
      <w:bookmarkEnd w:id="15"/>
    </w:p>
    <w:p w14:paraId="669F1A1B">
      <w:pPr>
        <w:ind w:firstLine="560" w:firstLineChars="200"/>
        <w:rPr>
          <w:rFonts w:hint="eastAsia" w:ascii="宋体" w:hAnsi="宋体" w:cs="宋体"/>
          <w:sz w:val="28"/>
          <w:szCs w:val="28"/>
        </w:rPr>
      </w:pPr>
      <w:r>
        <w:rPr>
          <w:rFonts w:hint="eastAsia" w:ascii="宋体" w:hAnsi="宋体" w:cs="宋体"/>
          <w:sz w:val="28"/>
          <w:szCs w:val="28"/>
        </w:rPr>
        <w:t>城市更新本质上是一次复杂的资产重组与产权置换，但现行税收制度通常将其拆解为多次独立的房地产交易行为进行征税，导致税务成本高昂。</w:t>
      </w:r>
    </w:p>
    <w:p w14:paraId="669F1A1C">
      <w:pPr>
        <w:ind w:firstLine="560" w:firstLineChars="200"/>
        <w:rPr>
          <w:rFonts w:hint="eastAsia" w:ascii="宋体" w:hAnsi="宋体" w:cs="宋体"/>
          <w:sz w:val="28"/>
          <w:szCs w:val="28"/>
        </w:rPr>
      </w:pPr>
      <w:r>
        <w:rPr>
          <w:rFonts w:hint="eastAsia" w:ascii="宋体" w:hAnsi="宋体" w:cs="宋体"/>
          <w:sz w:val="28"/>
          <w:szCs w:val="28"/>
        </w:rPr>
        <w:t>权利归集阶段的重复征税：在前文述及的“物权式权利归集”中，权利人将房产过户给实施主体（开发商或平台公司）以便统一报建，待建成后再将新房产回迁登记给权利人。在现行税法框架下，这会被视同为“两次转移”，面临高额的契税、土地增值税和企业所得税。</w:t>
      </w:r>
    </w:p>
    <w:p w14:paraId="669F1A1D">
      <w:pPr>
        <w:ind w:firstLine="560" w:firstLineChars="200"/>
        <w:rPr>
          <w:rFonts w:hint="eastAsia" w:ascii="宋体" w:hAnsi="宋体" w:cs="宋体"/>
          <w:sz w:val="28"/>
          <w:szCs w:val="28"/>
        </w:rPr>
      </w:pPr>
      <w:r>
        <w:rPr>
          <w:rFonts w:hint="eastAsia" w:ascii="宋体" w:hAnsi="宋体" w:cs="宋体"/>
          <w:sz w:val="28"/>
          <w:szCs w:val="28"/>
        </w:rPr>
        <w:t>缺乏适配更新周期的税收递延与减免工具：虽然国家针对棚户区改造等出台了部分税收优惠，但对于市场化主导的城中村改造、老旧厂房活化等非征收类更新项目，仍缺乏系统性的税收减免、递延纳税或资产重组特殊性税务处理通道，极大地压抑了民间资本参与更新的积极性。</w:t>
      </w:r>
    </w:p>
    <w:p w14:paraId="669F1A1E">
      <w:pPr>
        <w:pStyle w:val="3"/>
        <w:spacing w:line="360" w:lineRule="auto"/>
      </w:pPr>
      <w:bookmarkStart w:id="16" w:name="_Toc17396"/>
      <w:r>
        <w:rPr>
          <w:rFonts w:hint="eastAsia"/>
        </w:rPr>
        <w:t>三、域外城市更新的法治经验与制度启示</w:t>
      </w:r>
      <w:bookmarkEnd w:id="16"/>
    </w:p>
    <w:p w14:paraId="669F1A1F">
      <w:pPr>
        <w:ind w:firstLine="560" w:firstLineChars="200"/>
        <w:rPr>
          <w:rFonts w:hint="eastAsia" w:ascii="宋体" w:hAnsi="宋体" w:cs="宋体"/>
          <w:sz w:val="28"/>
          <w:szCs w:val="28"/>
        </w:rPr>
      </w:pPr>
      <w:r>
        <w:rPr>
          <w:rFonts w:hint="eastAsia" w:ascii="宋体" w:hAnsi="宋体" w:cs="宋体"/>
          <w:sz w:val="28"/>
          <w:szCs w:val="28"/>
        </w:rPr>
        <w:t>在破解城市更新制度刚性的探索中，发达国家经过长期的试错与演进，已形成相对成熟的法律框架。其中，日本历经半个多世纪构建的以《都市再开发法》与《都市再生特别措施法》为核心的双轨制体系，为破解我国当下城市更新面临的四大法律困境提供了最直接的实务参考；美国个别地区在区划调整与公众参与法律机制，对我国制度重构具有借鉴意义。本章将紧扣前文提出我国面临的城市更新法律制度困境，深度剖析域外特别是日本的破局之道。</w:t>
      </w:r>
    </w:p>
    <w:p w14:paraId="669F1A20">
      <w:pPr>
        <w:pStyle w:val="4"/>
        <w:spacing w:line="360" w:lineRule="auto"/>
      </w:pPr>
      <w:bookmarkStart w:id="17" w:name="_Toc23136"/>
      <w:r>
        <w:rPr>
          <w:rFonts w:hint="eastAsia"/>
        </w:rPr>
        <w:t>（一）破解二维规划刚性：从“区划调整”到“特区激励”的空间重塑</w:t>
      </w:r>
      <w:bookmarkEnd w:id="17"/>
    </w:p>
    <w:p w14:paraId="669F1A21">
      <w:pPr>
        <w:ind w:firstLine="560" w:firstLineChars="200"/>
        <w:rPr>
          <w:rFonts w:hint="eastAsia" w:ascii="宋体" w:hAnsi="宋体" w:cs="宋体"/>
          <w:sz w:val="28"/>
          <w:szCs w:val="28"/>
        </w:rPr>
      </w:pPr>
      <w:r>
        <w:rPr>
          <w:rFonts w:hint="eastAsia" w:ascii="宋体" w:hAnsi="宋体" w:cs="宋体"/>
          <w:sz w:val="28"/>
          <w:szCs w:val="28"/>
        </w:rPr>
        <w:t>针对上文提及的《城乡规划法》下控制性详细规划难以灵活调整、容积率与用途管制僵化的问题，日本、美国两国均通过特别的法律程序打破了传统规划的刚性约束，这一制度设计的法理基础，是“特别法优于一般法”的法律适用原则。</w:t>
      </w:r>
    </w:p>
    <w:p w14:paraId="669F1A22">
      <w:pPr>
        <w:ind w:firstLine="560" w:firstLineChars="200"/>
        <w:rPr>
          <w:rFonts w:hint="eastAsia" w:ascii="宋体" w:hAnsi="宋体" w:cs="宋体"/>
          <w:sz w:val="28"/>
          <w:szCs w:val="28"/>
        </w:rPr>
      </w:pPr>
      <w:r>
        <w:rPr>
          <w:rFonts w:hint="eastAsia" w:ascii="宋体" w:hAnsi="宋体" w:cs="宋体"/>
          <w:sz w:val="28"/>
          <w:szCs w:val="28"/>
        </w:rPr>
        <w:t>2002年，为应对信息化、国际化、少子老龄化等经济形势变化，日本颁布了《都市再生特别措施法》（平成十四年法律第二十二号），该法规定设立都市再生本部并由首相担任“本部长”，建立了城市更新的国家统筹机制。《都市再生特别措施法》创设了极其灵活的规划特例制度：</w:t>
      </w:r>
    </w:p>
    <w:p w14:paraId="669F1A23">
      <w:pPr>
        <w:ind w:firstLine="560" w:firstLineChars="200"/>
        <w:rPr>
          <w:rFonts w:hint="eastAsia" w:ascii="宋体" w:hAnsi="宋体" w:cs="宋体"/>
          <w:sz w:val="28"/>
          <w:szCs w:val="28"/>
        </w:rPr>
      </w:pPr>
      <w:r>
        <w:rPr>
          <w:rFonts w:hint="eastAsia" w:ascii="宋体" w:hAnsi="宋体" w:cs="宋体"/>
          <w:sz w:val="28"/>
          <w:szCs w:val="28"/>
        </w:rPr>
        <w:t>其一，是规划豁免与自由提案。根据《都市再生特别措施法》第三十六条规定，在政府划定的“都市再生紧急整备地域”内，可以设立“都市再生特别地区”。在该特别地区内，原有的土地用途地域限制（如容积率、建筑高度、斜线限制等二维刚性指标）将不再适用。截至2025年，日本共设立城市再生紧急整备区域54个，约9752公顷，特定城市再生紧急整备区域15个，约4339公顷，在全国人口增长放缓和地价下跌的大背景下，整备区在人口密度、人口结构及人口年龄方面具有明显优势，经济增速高于其他地区平均增速</w:t>
      </w:r>
    </w:p>
    <w:p w14:paraId="669F1A24">
      <w:pPr>
        <w:ind w:firstLine="560" w:firstLineChars="200"/>
        <w:rPr>
          <w:rFonts w:hint="eastAsia" w:ascii="宋体" w:hAnsi="宋体" w:cs="宋体"/>
          <w:sz w:val="28"/>
          <w:szCs w:val="28"/>
        </w:rPr>
      </w:pPr>
      <w:r>
        <w:rPr>
          <w:rFonts w:hint="eastAsia" w:ascii="宋体" w:hAnsi="宋体" w:cs="宋体"/>
          <w:sz w:val="28"/>
          <w:szCs w:val="28"/>
        </w:rPr>
        <w:t>其二，是制度赋能。实施主体（民间资本或开发商）可以依据项目实际情况，自主向规划部门提出突破常规的建筑高度和容积率方案。政府通过审查其对公共设施（如道路、绿地、公共服务空间）的贡献度，予以合法的规划许可。这一法律机制完美解决了“为更新项目定制三维规划形态”的合法性难题。</w:t>
      </w:r>
    </w:p>
    <w:p w14:paraId="669F1A25">
      <w:pPr>
        <w:ind w:firstLine="560" w:firstLineChars="200"/>
        <w:rPr>
          <w:rFonts w:hint="eastAsia" w:ascii="宋体" w:hAnsi="宋体" w:cs="宋体"/>
          <w:sz w:val="28"/>
          <w:szCs w:val="28"/>
        </w:rPr>
      </w:pPr>
      <w:r>
        <w:rPr>
          <w:rFonts w:hint="eastAsia" w:ascii="宋体" w:hAnsi="宋体" w:cs="宋体"/>
          <w:sz w:val="28"/>
          <w:szCs w:val="28"/>
        </w:rPr>
        <w:t>美国的经验则以西雅图的“重新区划（Rezoning）”制度为典型。在城市更新背景下，美国西雅图建立了一套成熟的“重新区划”制度，该制度突破了传统区划（Zoning）“一经划定、长期不变”的静态管理模式；当更新项目需要改变土地用途或增加开发强度时，可通过法定程序申请“重新区划”，在满足公共利益要求（如提供可负担住房、公共空间）的前提下，实现控制性指标的灵活调整，从而为城市更新释放空间红利。</w:t>
      </w:r>
    </w:p>
    <w:p w14:paraId="669F1A26">
      <w:pPr>
        <w:pStyle w:val="4"/>
        <w:spacing w:line="360" w:lineRule="auto"/>
      </w:pPr>
      <w:bookmarkStart w:id="18" w:name="_Toc11299"/>
      <w:r>
        <w:rPr>
          <w:rFonts w:hint="eastAsia"/>
        </w:rPr>
        <w:t>（二）破解供地流转限制：以“权利变换”为核心的产权置换</w:t>
      </w:r>
      <w:bookmarkEnd w:id="18"/>
    </w:p>
    <w:p w14:paraId="669F1A27">
      <w:pPr>
        <w:ind w:firstLine="560" w:firstLineChars="200"/>
        <w:rPr>
          <w:rFonts w:hint="eastAsia" w:ascii="宋体" w:hAnsi="宋体" w:cs="宋体"/>
          <w:sz w:val="28"/>
          <w:szCs w:val="28"/>
        </w:rPr>
      </w:pPr>
      <w:r>
        <w:rPr>
          <w:rFonts w:hint="eastAsia" w:ascii="宋体" w:hAnsi="宋体" w:cs="宋体"/>
          <w:sz w:val="28"/>
          <w:szCs w:val="28"/>
        </w:rPr>
        <w:t>我国《土地管理法》强调“净地出让”与“招拍挂”，这与城市更新中带建筑物流转、产权错综复杂的现实产生严重冲突。日本通过专门立法，彻底改变了传统的土地交易模式。</w:t>
      </w:r>
    </w:p>
    <w:p w14:paraId="669F1A28">
      <w:pPr>
        <w:ind w:firstLine="560" w:firstLineChars="200"/>
        <w:rPr>
          <w:rFonts w:hint="eastAsia" w:ascii="宋体" w:hAnsi="宋体" w:cs="宋体"/>
          <w:sz w:val="28"/>
          <w:szCs w:val="28"/>
        </w:rPr>
      </w:pPr>
      <w:r>
        <w:rPr>
          <w:rFonts w:hint="eastAsia" w:ascii="宋体" w:hAnsi="宋体" w:cs="宋体"/>
          <w:sz w:val="28"/>
          <w:szCs w:val="28"/>
        </w:rPr>
        <w:t>日本于1969年颁布的《都市再开发法》（昭和四十四年法律第三十八号）确立了城市更新最核心的物权流转法则：“权利变换”制度。</w:t>
      </w:r>
    </w:p>
    <w:p w14:paraId="669F1A29">
      <w:pPr>
        <w:ind w:firstLine="560" w:firstLineChars="200"/>
        <w:rPr>
          <w:rFonts w:hint="eastAsia" w:ascii="宋体" w:hAnsi="宋体" w:cs="宋体"/>
          <w:sz w:val="28"/>
          <w:szCs w:val="28"/>
        </w:rPr>
      </w:pPr>
      <w:r>
        <w:rPr>
          <w:rFonts w:hint="eastAsia" w:ascii="宋体" w:hAnsi="宋体" w:cs="宋体"/>
          <w:sz w:val="28"/>
          <w:szCs w:val="28"/>
        </w:rPr>
        <w:t>《都市再开发法》第七十条至第一百一十八条系统规定了“权利变换计划”的制定与实施，其核心逻辑是：不经过传统的土地征收或买卖交易，而是通过具有法律效力的不动产鉴定程序，将原有的土地所有权、地上权、租赁权等，依法按价值比例等价转换为新建建筑物上的区分所有权（如新楼的特定楼层或商铺），或者直接转换为现金补偿。</w:t>
      </w:r>
    </w:p>
    <w:p w14:paraId="206A75B0">
      <w:pPr>
        <w:ind w:firstLine="560" w:firstLineChars="200"/>
        <w:rPr>
          <w:rFonts w:hint="eastAsia" w:ascii="宋体" w:hAnsi="宋体" w:cs="宋体"/>
          <w:sz w:val="28"/>
          <w:szCs w:val="28"/>
        </w:rPr>
      </w:pPr>
    </w:p>
    <w:p w14:paraId="669F1A2A">
      <w:pPr>
        <w:ind w:firstLine="560" w:firstLineChars="200"/>
        <w:rPr>
          <w:rFonts w:hint="eastAsia" w:ascii="宋体" w:hAnsi="宋体" w:cs="宋体"/>
          <w:sz w:val="28"/>
          <w:szCs w:val="28"/>
        </w:rPr>
      </w:pPr>
      <w:r>
        <w:rPr>
          <w:rFonts w:hint="eastAsia" w:ascii="宋体" w:hAnsi="宋体" w:cs="宋体"/>
          <w:sz w:val="28"/>
          <w:szCs w:val="28"/>
        </w:rPr>
        <w:t>日本的这一“权利变换”制度，在法理上被认为是“原物权的延续”，而非“新物权的买卖”。实施主体无需像我国开发商那样先筹集巨资买断土地并完成“招拍挂”，原权利人也无需先被“扫地出门”再重新购房。它从根本上打通了原产权人与开发商共同参与更新的法律通道，实现了土地使用权的平滑过渡与功能转换。</w:t>
      </w:r>
    </w:p>
    <w:p w14:paraId="669F1A2B">
      <w:pPr>
        <w:pStyle w:val="4"/>
        <w:spacing w:line="360" w:lineRule="auto"/>
      </w:pPr>
      <w:bookmarkStart w:id="19" w:name="_Toc26160"/>
      <w:r>
        <w:rPr>
          <w:rFonts w:hint="eastAsia"/>
        </w:rPr>
        <w:t>（三）破解物权绝对性僵局：法定程序保障下的利益协调</w:t>
      </w:r>
      <w:bookmarkEnd w:id="19"/>
    </w:p>
    <w:p w14:paraId="669F1A2C">
      <w:pPr>
        <w:ind w:firstLine="560" w:firstLineChars="200"/>
        <w:rPr>
          <w:rFonts w:hint="eastAsia" w:ascii="宋体" w:hAnsi="宋体" w:cs="宋体"/>
          <w:sz w:val="28"/>
          <w:szCs w:val="28"/>
        </w:rPr>
      </w:pPr>
      <w:r>
        <w:rPr>
          <w:rFonts w:hint="eastAsia" w:ascii="宋体" w:hAnsi="宋体" w:cs="宋体"/>
          <w:sz w:val="28"/>
          <w:szCs w:val="28"/>
        </w:rPr>
        <w:t>对于中国《民法典》下“双三分之二”等高门槛表决要求以及极少数“钉子户”导致的城市更新项目停滞问题，美、日两国提供了不同的法治平衡视角。</w:t>
      </w:r>
    </w:p>
    <w:p w14:paraId="669F1A2D">
      <w:pPr>
        <w:ind w:firstLine="560" w:firstLineChars="200"/>
        <w:rPr>
          <w:rFonts w:hint="eastAsia" w:ascii="宋体" w:hAnsi="宋体" w:cs="宋体"/>
          <w:sz w:val="28"/>
          <w:szCs w:val="28"/>
        </w:rPr>
      </w:pPr>
      <w:r>
        <w:rPr>
          <w:rFonts w:hint="eastAsia" w:ascii="宋体" w:hAnsi="宋体" w:cs="宋体"/>
          <w:sz w:val="28"/>
          <w:szCs w:val="28"/>
        </w:rPr>
        <w:t>1.美国经验：纽约曼哈顿的“法定社区共治”</w:t>
      </w:r>
    </w:p>
    <w:p w14:paraId="669F1A2E">
      <w:pPr>
        <w:ind w:firstLine="560" w:firstLineChars="200"/>
        <w:rPr>
          <w:rFonts w:hint="eastAsia" w:ascii="宋体" w:hAnsi="宋体" w:cs="宋体"/>
          <w:sz w:val="28"/>
          <w:szCs w:val="28"/>
        </w:rPr>
      </w:pPr>
      <w:r>
        <w:rPr>
          <w:rFonts w:hint="eastAsia" w:ascii="宋体" w:hAnsi="宋体" w:cs="宋体"/>
          <w:sz w:val="28"/>
          <w:szCs w:val="28"/>
        </w:rPr>
        <w:t>纽约曼哈顿的更新规划（如BIGU项目）展现了成熟的公众参与法律保障。城市更新，需要的是建立在明确的法律权责之上的民主程序。社区居民作为受益与出资主体，清楚自身在更新中的法律权利、义务与责任。通过密集的法定研讨程序，在规划前期即完成利益博弈，以法定契约固定共识，从而避免了项目后期的反复与扯皮。</w:t>
      </w:r>
    </w:p>
    <w:p w14:paraId="669F1A2F">
      <w:pPr>
        <w:ind w:firstLine="560" w:firstLineChars="200"/>
        <w:rPr>
          <w:rFonts w:hint="eastAsia" w:ascii="宋体" w:hAnsi="宋体" w:cs="宋体"/>
          <w:sz w:val="28"/>
          <w:szCs w:val="28"/>
        </w:rPr>
      </w:pPr>
      <w:r>
        <w:rPr>
          <w:rFonts w:hint="eastAsia" w:ascii="宋体" w:hAnsi="宋体" w:cs="宋体"/>
          <w:sz w:val="28"/>
          <w:szCs w:val="28"/>
        </w:rPr>
        <w:t>2.日本经验：设立法定门槛与“强制代行”</w:t>
      </w:r>
    </w:p>
    <w:p w14:paraId="669F1A30">
      <w:pPr>
        <w:ind w:firstLine="560" w:firstLineChars="200"/>
        <w:rPr>
          <w:rFonts w:hint="eastAsia" w:ascii="宋体" w:hAnsi="宋体" w:cs="宋体"/>
          <w:sz w:val="28"/>
          <w:szCs w:val="28"/>
        </w:rPr>
      </w:pPr>
      <w:r>
        <w:rPr>
          <w:rFonts w:hint="eastAsia" w:ascii="宋体" w:hAnsi="宋体" w:cs="宋体"/>
          <w:sz w:val="28"/>
          <w:szCs w:val="28"/>
        </w:rPr>
        <w:t>在《都市再开发法》框架下，日本对于城市更新并不追求100%的绝对同意率。</w:t>
      </w:r>
    </w:p>
    <w:p w14:paraId="669F1A31">
      <w:pPr>
        <w:ind w:firstLine="560" w:firstLineChars="200"/>
        <w:rPr>
          <w:rFonts w:hint="eastAsia" w:ascii="宋体" w:hAnsi="宋体" w:cs="宋体"/>
          <w:sz w:val="28"/>
          <w:szCs w:val="28"/>
        </w:rPr>
      </w:pPr>
      <w:r>
        <w:rPr>
          <w:rFonts w:hint="eastAsia" w:ascii="宋体" w:hAnsi="宋体" w:cs="宋体"/>
          <w:sz w:val="28"/>
          <w:szCs w:val="28"/>
        </w:rPr>
        <w:t>首先，是设立“市街地再开发组合（再开发协会）”作为法定推进主体，仅需更新区域内三分之二（或根据情况四分之三）的土地所有权人及借地权人同意即可依法成立。再开发协会一旦依法成立即具有行政授权色彩，协会制定的“权利变换计划”经政府审查批准后，对剩余极少数未同意的权利人具有法定约束力。法律允许对其进行强制性的现金补偿或权利置换，从而依法排除了“钉子户”对城市公共利益的阻碍，打破了物权绝对性的僵局。</w:t>
      </w:r>
    </w:p>
    <w:p w14:paraId="669F1A32">
      <w:pPr>
        <w:pStyle w:val="4"/>
        <w:spacing w:line="360" w:lineRule="auto"/>
      </w:pPr>
      <w:bookmarkStart w:id="20" w:name="_Toc7867"/>
      <w:r>
        <w:rPr>
          <w:rFonts w:hint="eastAsia"/>
        </w:rPr>
        <w:t>（四）破解财税错配与交易成本：专门的金融与税收特例</w:t>
      </w:r>
      <w:bookmarkEnd w:id="20"/>
    </w:p>
    <w:p w14:paraId="669F1A33">
      <w:pPr>
        <w:ind w:firstLine="560" w:firstLineChars="200"/>
        <w:rPr>
          <w:rFonts w:hint="eastAsia" w:ascii="宋体" w:hAnsi="宋体" w:cs="宋体"/>
          <w:sz w:val="28"/>
          <w:szCs w:val="28"/>
        </w:rPr>
      </w:pPr>
      <w:r>
        <w:rPr>
          <w:rFonts w:hint="eastAsia" w:ascii="宋体" w:hAnsi="宋体" w:cs="宋体"/>
          <w:sz w:val="28"/>
          <w:szCs w:val="28"/>
        </w:rPr>
        <w:t>我国当前将城市更新中的产权整合视为多次常规房地产交易，导致契税、土增税等摩擦成本高昂，严重压抑民间资本参与意愿。</w:t>
      </w:r>
    </w:p>
    <w:p w14:paraId="669F1A34">
      <w:pPr>
        <w:ind w:firstLine="560" w:firstLineChars="200"/>
        <w:rPr>
          <w:rFonts w:hint="eastAsia" w:ascii="宋体" w:hAnsi="宋体" w:cs="宋体"/>
          <w:sz w:val="28"/>
          <w:szCs w:val="28"/>
        </w:rPr>
      </w:pPr>
      <w:r>
        <w:rPr>
          <w:rFonts w:hint="eastAsia" w:ascii="宋体" w:hAnsi="宋体" w:cs="宋体"/>
          <w:sz w:val="28"/>
          <w:szCs w:val="28"/>
        </w:rPr>
        <w:t>对此，日本的做法是出台制度化的资金支持与税收豁免。日本为了吸引民间资本主导城市更新（如东京麻布台之丘项目），在《都市再生特别措施法》及相关税法中配套了极其丰富的政策红利，依托前述的“权利变换”制度，由于法律认定其为物权的延续而非转移，因此在产权归集与置换阶段，依法免征不动产取得税与资本利得税。此外，针对“都市再生特别地区”内的新建项目，法律还明文规定在一定年限内减免固定资产税及城市规划税。</w:t>
      </w:r>
    </w:p>
    <w:p w14:paraId="669F1A35">
      <w:pPr>
        <w:ind w:firstLine="560" w:firstLineChars="200"/>
        <w:rPr>
          <w:rFonts w:hint="eastAsia" w:ascii="宋体" w:hAnsi="宋体" w:cs="宋体"/>
          <w:sz w:val="28"/>
          <w:szCs w:val="28"/>
        </w:rPr>
      </w:pPr>
      <w:r>
        <w:rPr>
          <w:rFonts w:hint="eastAsia" w:ascii="宋体" w:hAnsi="宋体" w:cs="宋体"/>
          <w:sz w:val="28"/>
          <w:szCs w:val="28"/>
        </w:rPr>
        <w:t>此外，日本还创设了多元的具有创新性的金融工具。日本政府不仅为获批的都市再生项目提供无息或低息的公共资金垫资，还积极引入民间金融工具（如夹层融资、设立专项更新基金），为民间资本介入长周期的更新项目提供了稳定的资金流保障与退出通道。</w:t>
      </w:r>
    </w:p>
    <w:p w14:paraId="669F1A36">
      <w:pPr>
        <w:ind w:firstLine="560" w:firstLineChars="200"/>
        <w:rPr>
          <w:rFonts w:hint="eastAsia" w:ascii="宋体" w:hAnsi="宋体" w:cs="宋体"/>
          <w:sz w:val="28"/>
          <w:szCs w:val="28"/>
        </w:rPr>
      </w:pPr>
      <w:r>
        <w:rPr>
          <w:rFonts w:hint="eastAsia" w:ascii="宋体" w:hAnsi="宋体" w:cs="宋体"/>
          <w:sz w:val="28"/>
          <w:szCs w:val="28"/>
        </w:rPr>
        <w:t>综上所述，域外法治经验表明，要破解城市更新的瓶颈，不能仅靠零星的政策修补，必须通过“特别法”的形式，在规划弹性、产权置换、表决机制与税收支持等方面创设系统性的法律特例，这些经验为我国下一步探索符合国情的城市更新专门立法提供了参照系。</w:t>
      </w:r>
    </w:p>
    <w:p w14:paraId="669F1A37">
      <w:pPr>
        <w:pStyle w:val="3"/>
        <w:spacing w:line="360" w:lineRule="auto"/>
      </w:pPr>
      <w:bookmarkStart w:id="21" w:name="_Toc8953"/>
      <w:r>
        <w:rPr>
          <w:rFonts w:hint="eastAsia"/>
        </w:rPr>
        <w:t>四、中日典型城市更新项目的剖析与审视</w:t>
      </w:r>
      <w:bookmarkEnd w:id="21"/>
    </w:p>
    <w:p w14:paraId="669F1A38">
      <w:pPr>
        <w:ind w:firstLine="560" w:firstLineChars="200"/>
        <w:rPr>
          <w:sz w:val="28"/>
        </w:rPr>
      </w:pPr>
      <w:r>
        <w:rPr>
          <w:rFonts w:hint="eastAsia"/>
          <w:sz w:val="28"/>
        </w:rPr>
        <w:t>在城市更新的法治探索中，宏观的法律制度最终都需要在具体的微观项目中落地检验。本章将选取日本东京的标杆性再开发项目与中国杭州的“自主更新”项目，从法律运作机制的核心视角进行深度剖析，并总结具体城市更新项目在推进过程中存在的问题。</w:t>
      </w:r>
    </w:p>
    <w:p w14:paraId="669F1A39">
      <w:pPr>
        <w:pStyle w:val="4"/>
        <w:spacing w:line="360" w:lineRule="auto"/>
      </w:pPr>
      <w:bookmarkStart w:id="22" w:name="_Toc9932"/>
      <w:r>
        <w:rPr>
          <w:rFonts w:hint="eastAsia"/>
        </w:rPr>
        <w:t>（一）日本都市再生的代表：东京六本木之丘项目</w:t>
      </w:r>
      <w:bookmarkEnd w:id="22"/>
    </w:p>
    <w:p w14:paraId="669F1A3A">
      <w:pPr>
        <w:ind w:firstLine="560" w:firstLineChars="200"/>
        <w:rPr>
          <w:sz w:val="28"/>
        </w:rPr>
      </w:pPr>
      <w:r>
        <w:rPr>
          <w:rFonts w:hint="eastAsia"/>
          <w:sz w:val="28"/>
        </w:rPr>
        <w:t>日本在经历了泡沫经济破裂后，为了重塑城市活力，在法律制度上给予了民间资本极大的参与空间，并通过精细的产权确认程序保障更新的推进。</w:t>
      </w:r>
    </w:p>
    <w:p w14:paraId="669F1A3B">
      <w:pPr>
        <w:ind w:firstLine="560" w:firstLineChars="200"/>
        <w:rPr>
          <w:sz w:val="28"/>
        </w:rPr>
      </w:pPr>
      <w:r>
        <w:rPr>
          <w:rFonts w:hint="eastAsia"/>
          <w:sz w:val="28"/>
        </w:rPr>
        <w:t>东京六本木之丘（Roppongi Hills）是日本国内由更新会实施完成之最大规模更新案例。该项目在更新初动期涉及400名以上的权利关系人，通过建立程序透明公正的产权置换机制（即“权利变换”），在不剥夺原所有权人底层物权的前提下，实现了产权的重新整合与分配。在泡沫经济重创、土地价格暴跌的极端不利条件下，项目依然依靠这一法定机制艰难完成了权属整合。</w:t>
      </w:r>
    </w:p>
    <w:p w14:paraId="669F1A3C">
      <w:pPr>
        <w:ind w:firstLine="560" w:firstLineChars="200"/>
        <w:rPr>
          <w:sz w:val="28"/>
        </w:rPr>
      </w:pPr>
      <w:r>
        <w:rPr>
          <w:rFonts w:hint="eastAsia"/>
          <w:sz w:val="28"/>
        </w:rPr>
        <w:t>然而，日本城市更新法律体系对私有产权的保护极其严密，强调近乎绝对的协商一致，这在实务中付出了极其高昂的时间成本。仍以东京的六本木之丘项目为例，该更新项目从协调权利关系人开始到执行完成，共花费了长达17年的漫长时光。在更新会正式成立前，为了取得每位权利人的充分理解，更新规划者甚至被迫反复提出了四个不同时点的权利变换试算版本。这种深陷于马拉松式私权博弈的法治模式，导致社会资本面临巨大的资金沉淀风险，城市公共利益的兑现被无限期推迟，这也是我国在构建专门立法时必须警惕的“程序陷阱”。</w:t>
      </w:r>
    </w:p>
    <w:p w14:paraId="669F1A3D">
      <w:pPr>
        <w:pStyle w:val="4"/>
        <w:spacing w:line="360" w:lineRule="auto"/>
      </w:pPr>
      <w:bookmarkStart w:id="23" w:name="_Toc23322"/>
      <w:r>
        <w:rPr>
          <w:rFonts w:hint="eastAsia"/>
        </w:rPr>
        <w:t>（二）中国“自主更新”的积极探索：杭州浙工新村项目</w:t>
      </w:r>
      <w:bookmarkEnd w:id="23"/>
    </w:p>
    <w:p w14:paraId="669F1A3E">
      <w:pPr>
        <w:ind w:firstLine="560" w:firstLineChars="200"/>
        <w:rPr>
          <w:sz w:val="28"/>
        </w:rPr>
      </w:pPr>
      <w:r>
        <w:rPr>
          <w:rFonts w:hint="eastAsia"/>
          <w:sz w:val="28"/>
        </w:rPr>
        <w:t>面对《民法典》下严苛的表决门槛与传统的政府大包大揽模式的困境，杭州浙工新村项目开辟了一条由权利人依法主导的“自下而上”更新路径，成为全国首个大规模危旧房自主更新项目。</w:t>
      </w:r>
    </w:p>
    <w:p w14:paraId="669F1A3F">
      <w:pPr>
        <w:ind w:firstLine="560" w:firstLineChars="200"/>
        <w:rPr>
          <w:sz w:val="28"/>
        </w:rPr>
      </w:pPr>
      <w:r>
        <w:rPr>
          <w:rFonts w:hint="eastAsia"/>
          <w:sz w:val="28"/>
        </w:rPr>
        <w:t>其一是搭建了“居民主体、政府赋能”的法律架构。浙工新村项目突破了传统的征收改造模式，构建了“居民主导决策—市场专业运作—政府制度赋能”的新型更新范式。居民通过法定程序组建“自主更新委员会（自更会）”，履行推进主体的统一协调职能。</w:t>
      </w:r>
    </w:p>
    <w:p w14:paraId="669F1A40">
      <w:pPr>
        <w:ind w:firstLine="560" w:firstLineChars="200"/>
        <w:rPr>
          <w:sz w:val="28"/>
        </w:rPr>
      </w:pPr>
      <w:r>
        <w:rPr>
          <w:rFonts w:hint="eastAsia"/>
          <w:sz w:val="28"/>
        </w:rPr>
        <w:t>其次，是以“债权式归集”突破审批障碍。在缺乏上位法明确授权“权利强制置换”的背景下，浙工新村项目采取了不转移物权的债权委托模式。以旧改模式办理施工许可和质安监手续，并在项目完工后开展部门联合验收，重塑优化了审批流程。</w:t>
      </w:r>
    </w:p>
    <w:p w14:paraId="669F1A41">
      <w:pPr>
        <w:ind w:firstLine="560" w:firstLineChars="200"/>
        <w:rPr>
          <w:sz w:val="28"/>
        </w:rPr>
      </w:pPr>
      <w:r>
        <w:rPr>
          <w:rFonts w:hint="eastAsia"/>
          <w:sz w:val="28"/>
        </w:rPr>
        <w:t>最后，是资金平衡的契约化落实。浙工新村项目探索了“居民出资为主、政府适度补贴、银行让利一点”的模式。通过居民合理投入扩面费用、新旧差价结算等，辅以政府给予的旧改等普惠性资金补贴，有效实现了项目资金的总体平衡。更新后，新建房屋由原来13幢多层房屋改为7幢11层房屋，适度提升了容积率，新增建筑面积用于居民扩面及公共配套。</w:t>
      </w:r>
    </w:p>
    <w:p w14:paraId="669F1A42">
      <w:pPr>
        <w:ind w:firstLine="560" w:firstLineChars="200"/>
        <w:rPr>
          <w:sz w:val="28"/>
        </w:rPr>
      </w:pPr>
      <w:r>
        <w:rPr>
          <w:rFonts w:hint="eastAsia"/>
          <w:sz w:val="28"/>
        </w:rPr>
        <w:t>当然，另一方面，浙工新村自更新项目也存在着“难以复制/推广”的问题。浙工新村项目的成功，高度依赖于特定的社会条件：业主群体综合素质较高（多为退休教师）、具有未来可见的市中心经济收益，且已形成“熟人社会”，便于基层治理统筹。在广泛存在的普通商品房或城中村更新中，面对诉求各异的庞大业主群体，一旦出现极少数谋求超额利益的“钉子户”，在现行《民法典》尚未确立“多数决强制退出机制”的法治空白下，类似浙工新村这种完全依赖居民内部达成100%利益妥协的“自主更新”，极易陷入停滞。</w:t>
      </w:r>
    </w:p>
    <w:p w14:paraId="669F1A43">
      <w:pPr>
        <w:ind w:firstLine="560" w:firstLineChars="200"/>
        <w:jc w:val="center"/>
        <w:rPr>
          <w:rFonts w:eastAsia="楷体"/>
          <w:sz w:val="28"/>
        </w:rPr>
      </w:pPr>
      <w:r>
        <w:rPr>
          <w:rFonts w:hint="eastAsia" w:eastAsia="楷体"/>
          <w:sz w:val="28"/>
        </w:rPr>
        <w:t>表二 ：中日城市更新项目对比表</w:t>
      </w:r>
    </w:p>
    <w:tbl>
      <w:tblPr>
        <w:tblStyle w:val="27"/>
        <w:tblW w:w="9102" w:type="dxa"/>
        <w:jc w:val="cente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blGrid>
        <w:gridCol w:w="2440"/>
        <w:gridCol w:w="3231"/>
        <w:gridCol w:w="3431"/>
      </w:tblGrid>
      <w:tr w14:paraId="669F1A47">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trHeight w:val="912" w:hRule="atLeast"/>
          <w:jc w:val="center"/>
        </w:trPr>
        <w:tc>
          <w:tcPr>
            <w:tcW w:w="2440" w:type="dxa"/>
            <w:tcBorders>
              <w:top w:val="single" w:color="FFFFFF" w:themeColor="background1" w:sz="4" w:space="0"/>
              <w:left w:val="single" w:color="FFFFFF" w:themeColor="background1" w:sz="4" w:space="0"/>
              <w:right w:val="nil"/>
              <w:insideV w:val="nil"/>
            </w:tcBorders>
            <w:shd w:val="clear" w:color="auto" w:fill="4F81BD" w:themeFill="accent1"/>
            <w:noWrap/>
            <w:vAlign w:val="center"/>
          </w:tcPr>
          <w:p w14:paraId="669F1A44">
            <w:pPr>
              <w:snapToGrid w:val="0"/>
              <w:spacing w:line="240" w:lineRule="auto"/>
              <w:ind w:firstLine="0"/>
              <w:jc w:val="center"/>
              <w:textAlignment w:val="center"/>
              <w:rPr>
                <w:rFonts w:hint="eastAsia" w:ascii="黑体" w:hAnsi="黑体" w:eastAsia="楷体" w:cs="黑体"/>
                <w:b w:val="0"/>
                <w:bCs w:val="0"/>
                <w:snapToGrid w:val="0"/>
                <w:color w:val="000000"/>
                <w:szCs w:val="24"/>
              </w:rPr>
            </w:pPr>
            <w:r>
              <w:rPr>
                <w:rFonts w:hint="eastAsia" w:ascii="黑体" w:hAnsi="黑体" w:eastAsia="楷体" w:cs="黑体"/>
                <w:b/>
                <w:bCs/>
                <w:snapToGrid w:val="0"/>
                <w:szCs w:val="24"/>
                <w:lang w:bidi="ar"/>
              </w:rPr>
              <w:t>比较维度</w:t>
            </w:r>
          </w:p>
        </w:tc>
        <w:tc>
          <w:tcPr>
            <w:tcW w:w="3231" w:type="dxa"/>
            <w:tcBorders>
              <w:top w:val="single" w:color="FFFFFF" w:themeColor="background1" w:sz="4" w:space="0"/>
              <w:right w:val="nil"/>
              <w:insideV w:val="nil"/>
            </w:tcBorders>
            <w:shd w:val="clear" w:color="auto" w:fill="4F81BD" w:themeFill="accent1"/>
            <w:vAlign w:val="center"/>
          </w:tcPr>
          <w:p w14:paraId="669F1A45">
            <w:pPr>
              <w:snapToGrid w:val="0"/>
              <w:spacing w:line="240" w:lineRule="auto"/>
              <w:ind w:firstLine="0"/>
              <w:jc w:val="center"/>
              <w:textAlignment w:val="center"/>
              <w:rPr>
                <w:rFonts w:hint="eastAsia" w:ascii="黑体" w:hAnsi="黑体" w:eastAsia="楷体" w:cs="黑体"/>
                <w:b w:val="0"/>
                <w:bCs w:val="0"/>
                <w:snapToGrid w:val="0"/>
                <w:color w:val="000000"/>
                <w:szCs w:val="24"/>
              </w:rPr>
            </w:pPr>
            <w:r>
              <w:rPr>
                <w:rFonts w:hint="eastAsia" w:ascii="黑体" w:hAnsi="黑体" w:eastAsia="楷体" w:cs="黑体"/>
                <w:b/>
                <w:bCs/>
                <w:snapToGrid w:val="0"/>
                <w:szCs w:val="24"/>
                <w:lang w:bidi="ar"/>
              </w:rPr>
              <w:t>日本东京六本木新城</w:t>
            </w:r>
          </w:p>
        </w:tc>
        <w:tc>
          <w:tcPr>
            <w:tcW w:w="3431" w:type="dxa"/>
            <w:tcBorders>
              <w:top w:val="single" w:color="FFFFFF" w:themeColor="background1" w:sz="4" w:space="0"/>
              <w:right w:val="single" w:color="FFFFFF" w:themeColor="background1" w:sz="4" w:space="0"/>
              <w:insideV w:val="nil"/>
            </w:tcBorders>
            <w:shd w:val="clear" w:color="auto" w:fill="4F81BD" w:themeFill="accent1"/>
            <w:noWrap/>
            <w:vAlign w:val="center"/>
          </w:tcPr>
          <w:p w14:paraId="669F1A46">
            <w:pPr>
              <w:snapToGrid w:val="0"/>
              <w:spacing w:line="240" w:lineRule="auto"/>
              <w:ind w:firstLine="0"/>
              <w:jc w:val="center"/>
              <w:textAlignment w:val="center"/>
              <w:rPr>
                <w:rFonts w:hint="eastAsia" w:ascii="黑体" w:hAnsi="黑体" w:eastAsia="楷体" w:cs="黑体"/>
                <w:b w:val="0"/>
                <w:bCs w:val="0"/>
                <w:snapToGrid w:val="0"/>
                <w:color w:val="000000"/>
                <w:szCs w:val="24"/>
              </w:rPr>
            </w:pPr>
            <w:r>
              <w:rPr>
                <w:rFonts w:hint="eastAsia" w:ascii="黑体" w:hAnsi="黑体" w:eastAsia="楷体" w:cs="黑体"/>
                <w:b/>
                <w:bCs/>
                <w:snapToGrid w:val="0"/>
                <w:szCs w:val="24"/>
                <w:lang w:bidi="ar"/>
              </w:rPr>
              <w:t>中国杭州浙工新村</w:t>
            </w:r>
          </w:p>
        </w:tc>
      </w:tr>
      <w:tr w14:paraId="669F1A4B">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jc w:val="center"/>
        </w:trPr>
        <w:tc>
          <w:tcPr>
            <w:tcW w:w="2440" w:type="dxa"/>
            <w:tcBorders>
              <w:left w:val="single" w:color="FFFFFF" w:themeColor="background1" w:sz="4" w:space="0"/>
            </w:tcBorders>
            <w:shd w:val="clear" w:color="auto" w:fill="4F81BD" w:themeFill="accent1"/>
            <w:noWrap/>
            <w:vAlign w:val="center"/>
          </w:tcPr>
          <w:p w14:paraId="669F1A48">
            <w:pPr>
              <w:snapToGrid w:val="0"/>
              <w:spacing w:line="240" w:lineRule="auto"/>
              <w:ind w:firstLine="0"/>
              <w:jc w:val="center"/>
              <w:textAlignment w:val="center"/>
              <w:rPr>
                <w:rFonts w:hint="eastAsia" w:ascii="黑体" w:hAnsi="黑体" w:eastAsia="楷体" w:cs="黑体"/>
                <w:b/>
                <w:bCs/>
                <w:snapToGrid w:val="0"/>
                <w:color w:val="333333"/>
                <w:szCs w:val="24"/>
              </w:rPr>
            </w:pPr>
            <w:r>
              <w:rPr>
                <w:rFonts w:hint="eastAsia" w:ascii="黑体" w:hAnsi="黑体" w:eastAsia="楷体" w:cs="黑体"/>
                <w:b/>
                <w:bCs/>
                <w:snapToGrid w:val="0"/>
                <w:szCs w:val="24"/>
                <w:lang w:bidi="ar"/>
              </w:rPr>
              <w:t>核心模式</w:t>
            </w:r>
          </w:p>
        </w:tc>
        <w:tc>
          <w:tcPr>
            <w:tcW w:w="3231" w:type="dxa"/>
            <w:shd w:val="clear" w:color="auto" w:fill="B8CCE4" w:themeFill="accent1" w:themeFillTint="66"/>
          </w:tcPr>
          <w:p w14:paraId="669F1A49">
            <w:pPr>
              <w:snapToGrid w:val="0"/>
              <w:spacing w:line="240" w:lineRule="auto"/>
              <w:ind w:firstLine="0"/>
              <w:jc w:val="left"/>
              <w:textAlignment w:val="center"/>
              <w:rPr>
                <w:rFonts w:hint="eastAsia" w:ascii="黑体" w:hAnsi="黑体" w:eastAsia="楷体" w:cs="黑体"/>
                <w:snapToGrid w:val="0"/>
                <w:color w:val="333333"/>
                <w:szCs w:val="24"/>
              </w:rPr>
            </w:pPr>
            <w:r>
              <w:rPr>
                <w:rFonts w:hint="eastAsia" w:ascii="黑体" w:hAnsi="黑体" w:eastAsia="楷体" w:cs="黑体"/>
                <w:snapToGrid w:val="0"/>
                <w:szCs w:val="24"/>
                <w:lang w:bidi="ar"/>
              </w:rPr>
              <w:t>民间资本主导的市场化再开发</w:t>
            </w:r>
          </w:p>
        </w:tc>
        <w:tc>
          <w:tcPr>
            <w:tcW w:w="3431" w:type="dxa"/>
            <w:shd w:val="clear" w:color="auto" w:fill="B8CCE4" w:themeFill="accent1" w:themeFillTint="66"/>
            <w:noWrap/>
          </w:tcPr>
          <w:p w14:paraId="669F1A4A">
            <w:pPr>
              <w:snapToGrid w:val="0"/>
              <w:spacing w:line="240" w:lineRule="auto"/>
              <w:ind w:firstLine="0"/>
              <w:textAlignment w:val="center"/>
              <w:rPr>
                <w:rFonts w:hint="eastAsia" w:ascii="黑体" w:hAnsi="黑体" w:eastAsia="楷体" w:cs="黑体"/>
                <w:snapToGrid w:val="0"/>
                <w:color w:val="333333"/>
                <w:szCs w:val="24"/>
              </w:rPr>
            </w:pPr>
            <w:r>
              <w:rPr>
                <w:rFonts w:hint="eastAsia" w:ascii="黑体" w:hAnsi="黑体" w:eastAsia="楷体" w:cs="黑体"/>
                <w:snapToGrid w:val="0"/>
                <w:szCs w:val="24"/>
                <w:lang w:bidi="ar"/>
              </w:rPr>
              <w:t>居民主导的社区自主更新</w:t>
            </w:r>
          </w:p>
        </w:tc>
      </w:tr>
      <w:tr w14:paraId="669F1A4F">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jc w:val="center"/>
        </w:trPr>
        <w:tc>
          <w:tcPr>
            <w:tcW w:w="2440" w:type="dxa"/>
            <w:tcBorders>
              <w:left w:val="single" w:color="FFFFFF" w:themeColor="background1" w:sz="4" w:space="0"/>
            </w:tcBorders>
            <w:shd w:val="clear" w:color="auto" w:fill="4F81BD" w:themeFill="accent1"/>
            <w:noWrap/>
            <w:vAlign w:val="center"/>
          </w:tcPr>
          <w:p w14:paraId="669F1A4C">
            <w:pPr>
              <w:snapToGrid w:val="0"/>
              <w:spacing w:line="240" w:lineRule="auto"/>
              <w:ind w:firstLine="0"/>
              <w:jc w:val="center"/>
              <w:textAlignment w:val="center"/>
              <w:rPr>
                <w:rFonts w:hint="eastAsia" w:ascii="黑体" w:hAnsi="黑体" w:eastAsia="楷体" w:cs="黑体"/>
                <w:b/>
                <w:bCs/>
                <w:snapToGrid w:val="0"/>
                <w:color w:val="333333"/>
                <w:szCs w:val="24"/>
              </w:rPr>
            </w:pPr>
            <w:r>
              <w:rPr>
                <w:rFonts w:hint="eastAsia" w:ascii="黑体" w:hAnsi="黑体" w:eastAsia="楷体" w:cs="黑体"/>
                <w:b/>
                <w:bCs/>
                <w:snapToGrid w:val="0"/>
                <w:szCs w:val="24"/>
                <w:lang w:bidi="ar"/>
              </w:rPr>
              <w:t>主导与实施主体</w:t>
            </w:r>
          </w:p>
        </w:tc>
        <w:tc>
          <w:tcPr>
            <w:tcW w:w="3231" w:type="dxa"/>
            <w:shd w:val="clear" w:color="auto" w:fill="DBE5F1" w:themeFill="accent1" w:themeFillTint="33"/>
          </w:tcPr>
          <w:p w14:paraId="669F1A4D">
            <w:pPr>
              <w:snapToGrid w:val="0"/>
              <w:spacing w:line="240" w:lineRule="auto"/>
              <w:ind w:firstLine="0"/>
              <w:textAlignment w:val="center"/>
              <w:rPr>
                <w:rFonts w:hint="eastAsia" w:ascii="黑体" w:hAnsi="黑体" w:eastAsia="楷体" w:cs="黑体"/>
                <w:snapToGrid w:val="0"/>
                <w:color w:val="333333"/>
                <w:szCs w:val="24"/>
              </w:rPr>
            </w:pPr>
            <w:r>
              <w:rPr>
                <w:rFonts w:hint="eastAsia" w:ascii="黑体" w:hAnsi="黑体" w:eastAsia="楷体" w:cs="黑体"/>
                <w:snapToGrid w:val="0"/>
                <w:szCs w:val="24"/>
                <w:lang w:bidi="ar"/>
              </w:rPr>
              <w:t>私营开发商（森大厦株式会社）主导</w:t>
            </w:r>
          </w:p>
        </w:tc>
        <w:tc>
          <w:tcPr>
            <w:tcW w:w="3431" w:type="dxa"/>
            <w:shd w:val="clear" w:color="auto" w:fill="DBE5F1" w:themeFill="accent1" w:themeFillTint="33"/>
            <w:noWrap/>
          </w:tcPr>
          <w:p w14:paraId="669F1A4E">
            <w:pPr>
              <w:snapToGrid w:val="0"/>
              <w:spacing w:line="240" w:lineRule="auto"/>
              <w:ind w:firstLine="0"/>
              <w:textAlignment w:val="center"/>
              <w:rPr>
                <w:rFonts w:hint="eastAsia" w:ascii="黑体" w:hAnsi="黑体" w:eastAsia="楷体" w:cs="黑体"/>
                <w:snapToGrid w:val="0"/>
                <w:color w:val="333333"/>
                <w:szCs w:val="24"/>
              </w:rPr>
            </w:pPr>
            <w:r>
              <w:rPr>
                <w:rFonts w:hint="eastAsia" w:ascii="黑体" w:hAnsi="黑体" w:eastAsia="楷体" w:cs="黑体"/>
                <w:snapToGrid w:val="0"/>
                <w:szCs w:val="24"/>
                <w:lang w:bidi="ar"/>
              </w:rPr>
              <w:t>居民（产权人）自主组织，政府与国企提供支持</w:t>
            </w:r>
          </w:p>
        </w:tc>
      </w:tr>
      <w:tr w14:paraId="669F1A53">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jc w:val="center"/>
        </w:trPr>
        <w:tc>
          <w:tcPr>
            <w:tcW w:w="2440" w:type="dxa"/>
            <w:tcBorders>
              <w:left w:val="single" w:color="FFFFFF" w:themeColor="background1" w:sz="4" w:space="0"/>
            </w:tcBorders>
            <w:shd w:val="clear" w:color="auto" w:fill="4F81BD" w:themeFill="accent1"/>
            <w:noWrap/>
            <w:vAlign w:val="center"/>
          </w:tcPr>
          <w:p w14:paraId="669F1A50">
            <w:pPr>
              <w:snapToGrid w:val="0"/>
              <w:spacing w:line="240" w:lineRule="auto"/>
              <w:ind w:firstLine="0"/>
              <w:jc w:val="center"/>
              <w:textAlignment w:val="center"/>
              <w:rPr>
                <w:rFonts w:hint="eastAsia" w:ascii="黑体" w:hAnsi="黑体" w:eastAsia="楷体" w:cs="黑体"/>
                <w:b/>
                <w:bCs/>
                <w:snapToGrid w:val="0"/>
                <w:color w:val="333333"/>
                <w:szCs w:val="24"/>
              </w:rPr>
            </w:pPr>
            <w:r>
              <w:rPr>
                <w:rFonts w:hint="eastAsia" w:ascii="黑体" w:hAnsi="黑体" w:eastAsia="楷体" w:cs="黑体"/>
                <w:b/>
                <w:bCs/>
                <w:snapToGrid w:val="0"/>
                <w:szCs w:val="24"/>
                <w:lang w:bidi="ar"/>
              </w:rPr>
              <w:t>资金来源</w:t>
            </w:r>
          </w:p>
        </w:tc>
        <w:tc>
          <w:tcPr>
            <w:tcW w:w="3231" w:type="dxa"/>
            <w:shd w:val="clear" w:color="auto" w:fill="B8CCE4" w:themeFill="accent1" w:themeFillTint="66"/>
          </w:tcPr>
          <w:p w14:paraId="669F1A51">
            <w:pPr>
              <w:snapToGrid w:val="0"/>
              <w:spacing w:line="240" w:lineRule="auto"/>
              <w:ind w:firstLine="0"/>
              <w:textAlignment w:val="center"/>
              <w:rPr>
                <w:rFonts w:hint="eastAsia" w:ascii="黑体" w:hAnsi="黑体" w:eastAsia="楷体" w:cs="黑体"/>
                <w:snapToGrid w:val="0"/>
                <w:color w:val="333333"/>
                <w:szCs w:val="24"/>
              </w:rPr>
            </w:pPr>
            <w:r>
              <w:rPr>
                <w:rFonts w:hint="eastAsia" w:ascii="黑体" w:hAnsi="黑体" w:eastAsia="楷体" w:cs="黑体"/>
                <w:snapToGrid w:val="0"/>
                <w:szCs w:val="24"/>
                <w:lang w:bidi="ar"/>
              </w:rPr>
              <w:t>以民间直接投资为主</w:t>
            </w:r>
          </w:p>
        </w:tc>
        <w:tc>
          <w:tcPr>
            <w:tcW w:w="3431" w:type="dxa"/>
            <w:shd w:val="clear" w:color="auto" w:fill="B8CCE4" w:themeFill="accent1" w:themeFillTint="66"/>
            <w:noWrap/>
          </w:tcPr>
          <w:p w14:paraId="669F1A52">
            <w:pPr>
              <w:snapToGrid w:val="0"/>
              <w:spacing w:line="240" w:lineRule="auto"/>
              <w:ind w:firstLine="0"/>
              <w:textAlignment w:val="center"/>
              <w:rPr>
                <w:rFonts w:hint="eastAsia" w:ascii="黑体" w:hAnsi="黑体" w:eastAsia="楷体" w:cs="黑体"/>
                <w:snapToGrid w:val="0"/>
                <w:color w:val="333333"/>
                <w:szCs w:val="24"/>
              </w:rPr>
            </w:pPr>
            <w:r>
              <w:rPr>
                <w:rFonts w:hint="eastAsia" w:ascii="黑体" w:hAnsi="黑体" w:eastAsia="楷体" w:cs="黑体"/>
                <w:snapToGrid w:val="0"/>
                <w:szCs w:val="24"/>
                <w:lang w:bidi="ar"/>
              </w:rPr>
              <w:t>居民自筹为主，政府补贴为辅</w:t>
            </w:r>
          </w:p>
        </w:tc>
      </w:tr>
      <w:tr w14:paraId="669F1A57">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jc w:val="center"/>
        </w:trPr>
        <w:tc>
          <w:tcPr>
            <w:tcW w:w="2440" w:type="dxa"/>
            <w:tcBorders>
              <w:left w:val="single" w:color="FFFFFF" w:themeColor="background1" w:sz="4" w:space="0"/>
            </w:tcBorders>
            <w:shd w:val="clear" w:color="auto" w:fill="4F81BD" w:themeFill="accent1"/>
            <w:noWrap/>
            <w:vAlign w:val="center"/>
          </w:tcPr>
          <w:p w14:paraId="669F1A54">
            <w:pPr>
              <w:snapToGrid w:val="0"/>
              <w:spacing w:line="240" w:lineRule="auto"/>
              <w:ind w:firstLine="0"/>
              <w:jc w:val="center"/>
              <w:textAlignment w:val="center"/>
              <w:rPr>
                <w:rFonts w:hint="eastAsia" w:ascii="黑体" w:hAnsi="黑体" w:eastAsia="楷体" w:cs="黑体"/>
                <w:b/>
                <w:bCs/>
                <w:snapToGrid w:val="0"/>
                <w:color w:val="333333"/>
                <w:szCs w:val="24"/>
              </w:rPr>
            </w:pPr>
            <w:r>
              <w:rPr>
                <w:rFonts w:hint="eastAsia" w:ascii="黑体" w:hAnsi="黑体" w:eastAsia="楷体" w:cs="黑体"/>
                <w:b/>
                <w:bCs/>
                <w:snapToGrid w:val="0"/>
                <w:szCs w:val="24"/>
                <w:lang w:bidi="ar"/>
              </w:rPr>
              <w:t>产权与土地处置</w:t>
            </w:r>
          </w:p>
        </w:tc>
        <w:tc>
          <w:tcPr>
            <w:tcW w:w="3231" w:type="dxa"/>
            <w:shd w:val="clear" w:color="auto" w:fill="DBE5F1" w:themeFill="accent1" w:themeFillTint="33"/>
          </w:tcPr>
          <w:p w14:paraId="669F1A55">
            <w:pPr>
              <w:snapToGrid w:val="0"/>
              <w:spacing w:line="240" w:lineRule="auto"/>
              <w:ind w:firstLine="0"/>
              <w:textAlignment w:val="center"/>
              <w:rPr>
                <w:rFonts w:hint="eastAsia" w:ascii="黑体" w:hAnsi="黑体" w:eastAsia="楷体" w:cs="黑体"/>
                <w:snapToGrid w:val="0"/>
                <w:color w:val="333333"/>
                <w:szCs w:val="24"/>
              </w:rPr>
            </w:pPr>
            <w:r>
              <w:rPr>
                <w:rFonts w:hint="eastAsia" w:ascii="黑体" w:hAnsi="黑体" w:eastAsia="楷体" w:cs="黑体"/>
                <w:snapToGrid w:val="0"/>
                <w:szCs w:val="24"/>
                <w:lang w:bidi="ar"/>
              </w:rPr>
              <w:t>通过“权利置换”整合复杂地权</w:t>
            </w:r>
          </w:p>
        </w:tc>
        <w:tc>
          <w:tcPr>
            <w:tcW w:w="3431" w:type="dxa"/>
            <w:shd w:val="clear" w:color="auto" w:fill="DBE5F1" w:themeFill="accent1" w:themeFillTint="33"/>
            <w:noWrap/>
          </w:tcPr>
          <w:p w14:paraId="669F1A56">
            <w:pPr>
              <w:snapToGrid w:val="0"/>
              <w:spacing w:line="240" w:lineRule="auto"/>
              <w:ind w:firstLine="0"/>
              <w:textAlignment w:val="center"/>
              <w:rPr>
                <w:rFonts w:hint="eastAsia" w:ascii="黑体" w:hAnsi="黑体" w:eastAsia="楷体" w:cs="黑体"/>
                <w:snapToGrid w:val="0"/>
                <w:color w:val="333333"/>
                <w:szCs w:val="24"/>
              </w:rPr>
            </w:pPr>
            <w:r>
              <w:rPr>
                <w:rFonts w:hint="eastAsia" w:ascii="黑体" w:hAnsi="黑体" w:eastAsia="楷体" w:cs="黑体"/>
                <w:snapToGrid w:val="0"/>
                <w:szCs w:val="24"/>
                <w:lang w:bidi="ar"/>
              </w:rPr>
              <w:t>原拆原建，产权基本不变</w:t>
            </w:r>
          </w:p>
        </w:tc>
      </w:tr>
      <w:tr w14:paraId="669F1A5B">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jc w:val="center"/>
        </w:trPr>
        <w:tc>
          <w:tcPr>
            <w:tcW w:w="2440" w:type="dxa"/>
            <w:tcBorders>
              <w:left w:val="single" w:color="FFFFFF" w:themeColor="background1" w:sz="4" w:space="0"/>
            </w:tcBorders>
            <w:shd w:val="clear" w:color="auto" w:fill="4F81BD" w:themeFill="accent1"/>
            <w:noWrap/>
            <w:vAlign w:val="center"/>
          </w:tcPr>
          <w:p w14:paraId="669F1A58">
            <w:pPr>
              <w:snapToGrid w:val="0"/>
              <w:spacing w:line="240" w:lineRule="auto"/>
              <w:ind w:firstLine="0"/>
              <w:jc w:val="center"/>
              <w:textAlignment w:val="center"/>
              <w:rPr>
                <w:rFonts w:hint="eastAsia" w:ascii="黑体" w:hAnsi="黑体" w:eastAsia="楷体" w:cs="黑体"/>
                <w:b/>
                <w:bCs/>
                <w:snapToGrid w:val="0"/>
                <w:color w:val="333333"/>
                <w:szCs w:val="24"/>
              </w:rPr>
            </w:pPr>
            <w:r>
              <w:rPr>
                <w:rFonts w:hint="eastAsia" w:ascii="黑体" w:hAnsi="黑体" w:eastAsia="楷体" w:cs="黑体"/>
                <w:b/>
                <w:bCs/>
                <w:snapToGrid w:val="0"/>
                <w:szCs w:val="24"/>
                <w:lang w:bidi="ar"/>
              </w:rPr>
              <w:t>政策与政府角色</w:t>
            </w:r>
          </w:p>
        </w:tc>
        <w:tc>
          <w:tcPr>
            <w:tcW w:w="3231" w:type="dxa"/>
            <w:shd w:val="clear" w:color="auto" w:fill="B8CCE4" w:themeFill="accent1" w:themeFillTint="66"/>
          </w:tcPr>
          <w:p w14:paraId="669F1A59">
            <w:pPr>
              <w:snapToGrid w:val="0"/>
              <w:spacing w:line="240" w:lineRule="auto"/>
              <w:ind w:firstLine="0"/>
              <w:textAlignment w:val="center"/>
              <w:rPr>
                <w:rFonts w:hint="eastAsia" w:ascii="黑体" w:hAnsi="黑体" w:eastAsia="楷体" w:cs="黑体"/>
                <w:snapToGrid w:val="0"/>
                <w:color w:val="333333"/>
                <w:szCs w:val="24"/>
              </w:rPr>
            </w:pPr>
            <w:r>
              <w:rPr>
                <w:rFonts w:hint="eastAsia" w:ascii="黑体" w:hAnsi="黑体" w:eastAsia="楷体" w:cs="黑体"/>
                <w:snapToGrid w:val="0"/>
                <w:szCs w:val="24"/>
                <w:lang w:bidi="ar"/>
              </w:rPr>
              <w:t>提供规划许可、低息贷款等政策支持，扮演协调者角色</w:t>
            </w:r>
          </w:p>
        </w:tc>
        <w:tc>
          <w:tcPr>
            <w:tcW w:w="3431" w:type="dxa"/>
            <w:shd w:val="clear" w:color="auto" w:fill="B8CCE4" w:themeFill="accent1" w:themeFillTint="66"/>
            <w:noWrap/>
          </w:tcPr>
          <w:p w14:paraId="669F1A5A">
            <w:pPr>
              <w:snapToGrid w:val="0"/>
              <w:spacing w:line="240" w:lineRule="auto"/>
              <w:ind w:firstLine="0"/>
              <w:textAlignment w:val="center"/>
              <w:rPr>
                <w:rFonts w:hint="eastAsia" w:ascii="黑体" w:hAnsi="黑体" w:eastAsia="楷体" w:cs="黑体"/>
                <w:snapToGrid w:val="0"/>
                <w:color w:val="333333"/>
                <w:szCs w:val="24"/>
              </w:rPr>
            </w:pPr>
            <w:r>
              <w:rPr>
                <w:rFonts w:hint="eastAsia" w:ascii="黑体" w:hAnsi="黑体" w:eastAsia="楷体" w:cs="黑体"/>
                <w:snapToGrid w:val="0"/>
                <w:szCs w:val="24"/>
                <w:lang w:bidi="ar"/>
              </w:rPr>
              <w:t>提供“一事一议”的精准政策包</w:t>
            </w:r>
          </w:p>
        </w:tc>
      </w:tr>
      <w:tr w14:paraId="669F1A5F">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jc w:val="center"/>
        </w:trPr>
        <w:tc>
          <w:tcPr>
            <w:tcW w:w="2440" w:type="dxa"/>
            <w:tcBorders>
              <w:left w:val="single" w:color="FFFFFF" w:themeColor="background1" w:sz="4" w:space="0"/>
            </w:tcBorders>
            <w:shd w:val="clear" w:color="auto" w:fill="4F81BD" w:themeFill="accent1"/>
            <w:noWrap/>
            <w:vAlign w:val="center"/>
          </w:tcPr>
          <w:p w14:paraId="669F1A5C">
            <w:pPr>
              <w:snapToGrid w:val="0"/>
              <w:spacing w:line="240" w:lineRule="auto"/>
              <w:ind w:firstLine="0"/>
              <w:jc w:val="center"/>
              <w:textAlignment w:val="center"/>
              <w:rPr>
                <w:rFonts w:hint="eastAsia" w:ascii="黑体" w:hAnsi="黑体" w:eastAsia="楷体" w:cs="黑体"/>
                <w:b/>
                <w:bCs/>
                <w:snapToGrid w:val="0"/>
                <w:color w:val="333333"/>
                <w:szCs w:val="24"/>
              </w:rPr>
            </w:pPr>
            <w:r>
              <w:rPr>
                <w:rFonts w:hint="eastAsia" w:ascii="黑体" w:hAnsi="黑体" w:eastAsia="楷体" w:cs="黑体"/>
                <w:b/>
                <w:bCs/>
                <w:snapToGrid w:val="0"/>
                <w:szCs w:val="24"/>
                <w:lang w:bidi="ar"/>
              </w:rPr>
              <w:t>更新规模与性质</w:t>
            </w:r>
          </w:p>
        </w:tc>
        <w:tc>
          <w:tcPr>
            <w:tcW w:w="3231" w:type="dxa"/>
            <w:shd w:val="clear" w:color="auto" w:fill="DBE5F1" w:themeFill="accent1" w:themeFillTint="33"/>
          </w:tcPr>
          <w:p w14:paraId="669F1A5D">
            <w:pPr>
              <w:snapToGrid w:val="0"/>
              <w:spacing w:line="240" w:lineRule="auto"/>
              <w:ind w:firstLine="0"/>
              <w:textAlignment w:val="center"/>
              <w:rPr>
                <w:rFonts w:hint="eastAsia" w:ascii="黑体" w:hAnsi="黑体" w:eastAsia="楷体" w:cs="黑体"/>
                <w:snapToGrid w:val="0"/>
                <w:color w:val="333333"/>
                <w:szCs w:val="24"/>
              </w:rPr>
            </w:pPr>
            <w:r>
              <w:rPr>
                <w:rFonts w:hint="eastAsia" w:ascii="黑体" w:hAnsi="黑体" w:eastAsia="楷体" w:cs="黑体"/>
                <w:snapToGrid w:val="0"/>
                <w:szCs w:val="24"/>
                <w:lang w:bidi="ar"/>
              </w:rPr>
              <w:t>超大规模、区域性、商业导向的再开发</w:t>
            </w:r>
          </w:p>
        </w:tc>
        <w:tc>
          <w:tcPr>
            <w:tcW w:w="3431" w:type="dxa"/>
            <w:shd w:val="clear" w:color="auto" w:fill="DBE5F1" w:themeFill="accent1" w:themeFillTint="33"/>
            <w:noWrap/>
          </w:tcPr>
          <w:p w14:paraId="669F1A5E">
            <w:pPr>
              <w:snapToGrid w:val="0"/>
              <w:spacing w:line="240" w:lineRule="auto"/>
              <w:ind w:firstLine="0"/>
              <w:textAlignment w:val="center"/>
              <w:rPr>
                <w:rFonts w:hint="eastAsia" w:ascii="黑体" w:hAnsi="黑体" w:eastAsia="楷体" w:cs="黑体"/>
                <w:snapToGrid w:val="0"/>
                <w:color w:val="333333"/>
                <w:szCs w:val="24"/>
              </w:rPr>
            </w:pPr>
            <w:r>
              <w:rPr>
                <w:rFonts w:hint="eastAsia" w:ascii="黑体" w:hAnsi="黑体" w:eastAsia="楷体" w:cs="黑体"/>
                <w:snapToGrid w:val="0"/>
                <w:szCs w:val="24"/>
                <w:lang w:bidi="ar"/>
              </w:rPr>
              <w:t>小规模、社区性、民生导向的危旧房改造</w:t>
            </w:r>
          </w:p>
        </w:tc>
      </w:tr>
      <w:tr w14:paraId="669F1A63">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Ex>
        <w:trPr>
          <w:trHeight w:val="887" w:hRule="atLeast"/>
          <w:jc w:val="center"/>
        </w:trPr>
        <w:tc>
          <w:tcPr>
            <w:tcW w:w="2440" w:type="dxa"/>
            <w:tcBorders>
              <w:left w:val="single" w:color="FFFFFF" w:themeColor="background1" w:sz="4" w:space="0"/>
              <w:bottom w:val="single" w:color="FFFFFF" w:themeColor="background1" w:sz="4" w:space="0"/>
            </w:tcBorders>
            <w:shd w:val="clear" w:color="auto" w:fill="4F81BD" w:themeFill="accent1"/>
            <w:noWrap/>
            <w:vAlign w:val="center"/>
          </w:tcPr>
          <w:p w14:paraId="669F1A60">
            <w:pPr>
              <w:snapToGrid w:val="0"/>
              <w:spacing w:line="240" w:lineRule="auto"/>
              <w:ind w:firstLine="0"/>
              <w:jc w:val="center"/>
              <w:textAlignment w:val="center"/>
              <w:rPr>
                <w:rFonts w:hint="eastAsia" w:ascii="黑体" w:hAnsi="黑体" w:eastAsia="楷体" w:cs="黑体"/>
                <w:b/>
                <w:bCs/>
                <w:snapToGrid w:val="0"/>
                <w:color w:val="333333"/>
                <w:szCs w:val="24"/>
              </w:rPr>
            </w:pPr>
            <w:r>
              <w:rPr>
                <w:rFonts w:hint="eastAsia" w:ascii="黑体" w:hAnsi="黑体" w:eastAsia="楷体" w:cs="黑体"/>
                <w:b/>
                <w:bCs/>
                <w:snapToGrid w:val="0"/>
                <w:szCs w:val="24"/>
                <w:lang w:bidi="ar"/>
              </w:rPr>
              <w:t>社会资本与实施基础</w:t>
            </w:r>
          </w:p>
        </w:tc>
        <w:tc>
          <w:tcPr>
            <w:tcW w:w="3231" w:type="dxa"/>
            <w:shd w:val="clear" w:color="auto" w:fill="B8CCE4" w:themeFill="accent1" w:themeFillTint="66"/>
          </w:tcPr>
          <w:p w14:paraId="669F1A61">
            <w:pPr>
              <w:snapToGrid w:val="0"/>
              <w:spacing w:line="240" w:lineRule="auto"/>
              <w:ind w:firstLine="0"/>
              <w:textAlignment w:val="center"/>
              <w:rPr>
                <w:rFonts w:hint="eastAsia" w:ascii="黑体" w:hAnsi="黑体" w:eastAsia="楷体" w:cs="黑体"/>
                <w:snapToGrid w:val="0"/>
                <w:color w:val="333333"/>
                <w:szCs w:val="24"/>
              </w:rPr>
            </w:pPr>
            <w:r>
              <w:rPr>
                <w:rFonts w:hint="eastAsia" w:ascii="黑体" w:hAnsi="黑体" w:eastAsia="楷体" w:cs="黑体"/>
                <w:snapToGrid w:val="0"/>
                <w:szCs w:val="24"/>
                <w:lang w:bidi="ar"/>
              </w:rPr>
              <w:t>依赖成熟的市场经济规则、法律契约与强大的私营开发商</w:t>
            </w:r>
          </w:p>
        </w:tc>
        <w:tc>
          <w:tcPr>
            <w:tcW w:w="3431" w:type="dxa"/>
            <w:shd w:val="clear" w:color="auto" w:fill="B8CCE4" w:themeFill="accent1" w:themeFillTint="66"/>
            <w:noWrap/>
          </w:tcPr>
          <w:p w14:paraId="669F1A62">
            <w:pPr>
              <w:snapToGrid w:val="0"/>
              <w:spacing w:line="240" w:lineRule="auto"/>
              <w:ind w:firstLine="0"/>
              <w:textAlignment w:val="center"/>
              <w:rPr>
                <w:rFonts w:hint="eastAsia" w:ascii="黑体" w:hAnsi="黑体" w:eastAsia="楷体" w:cs="黑体"/>
                <w:snapToGrid w:val="0"/>
                <w:color w:val="333333"/>
                <w:szCs w:val="24"/>
              </w:rPr>
            </w:pPr>
            <w:r>
              <w:rPr>
                <w:rFonts w:hint="eastAsia" w:ascii="黑体" w:hAnsi="黑体" w:eastAsia="楷体" w:cs="黑体"/>
                <w:snapToGrid w:val="0"/>
                <w:szCs w:val="24"/>
                <w:lang w:bidi="ar"/>
              </w:rPr>
              <w:t>高度依赖“熟人社会”的社区信任与共识</w:t>
            </w:r>
          </w:p>
        </w:tc>
      </w:tr>
    </w:tbl>
    <w:p w14:paraId="669F1A64">
      <w:pPr>
        <w:ind w:firstLine="560" w:firstLineChars="200"/>
        <w:rPr>
          <w:sz w:val="28"/>
        </w:rPr>
      </w:pPr>
    </w:p>
    <w:p w14:paraId="669F1A65">
      <w:pPr>
        <w:ind w:firstLine="560" w:firstLineChars="200"/>
        <w:rPr>
          <w:sz w:val="28"/>
        </w:rPr>
      </w:pPr>
      <w:r>
        <w:rPr>
          <w:rFonts w:hint="eastAsia"/>
          <w:sz w:val="28"/>
        </w:rPr>
        <w:t>中日两国的城市更新项目案例表明，城市更新的专门立法必须在“私权保护”与“实施效率”之间寻找精准的平衡点：城市更新项目的推进，不能像日本某些项目那样因过度协商而导致效率极其低下；同样地，也不能仅仅依赖浙工新村自更新个案中的“熟人社会”道德契约。我国的城市更新法治重构，亟需在立法层面引入类似“法定强制解围”的刚性规则，为极少数拒绝协商的障碍提供法治化的司法或行政清场路径。</w:t>
      </w:r>
    </w:p>
    <w:p w14:paraId="669F1A66">
      <w:pPr>
        <w:pStyle w:val="3"/>
        <w:spacing w:line="360" w:lineRule="auto"/>
      </w:pPr>
      <w:bookmarkStart w:id="24" w:name="_Toc27275"/>
      <w:r>
        <w:rPr>
          <w:rFonts w:hint="eastAsia"/>
        </w:rPr>
        <w:t>五、完善我国城市更新法律制度的对策与建议</w:t>
      </w:r>
      <w:bookmarkEnd w:id="24"/>
    </w:p>
    <w:p w14:paraId="669F1A67">
      <w:pPr>
        <w:ind w:firstLine="560" w:firstLineChars="200"/>
        <w:rPr>
          <w:sz w:val="28"/>
        </w:rPr>
      </w:pPr>
      <w:r>
        <w:rPr>
          <w:rFonts w:hint="eastAsia"/>
          <w:sz w:val="28"/>
        </w:rPr>
        <w:t>从“增量扩张”向“存量提质”的跨越，本质上是一场深刻的城市空间利益重组。面对现行一般法在更新实务中暴露出的“水土不服”，以及中外典型案例正反两方面的经验教训，我国亟需以改革的思路重构城市更新的法律基石。首先应该明确的是，城市更新立法更应该以单独立法的形式呈现，以期解决特定事项与一般法冲突的困境。基于这一前提原则，本报告从立法原则、规划协同、物权流转与财税配套四个维度，提出以下对策建议：</w:t>
      </w:r>
    </w:p>
    <w:p w14:paraId="669F1A68">
      <w:pPr>
        <w:pStyle w:val="4"/>
        <w:spacing w:line="360" w:lineRule="auto"/>
      </w:pPr>
      <w:bookmarkStart w:id="25" w:name="_Toc13338"/>
      <w:r>
        <w:rPr>
          <w:rFonts w:hint="eastAsia"/>
        </w:rPr>
        <w:t>（一）顶层设计：确立“有效提升与弹性代偿”双核心原则</w:t>
      </w:r>
      <w:bookmarkEnd w:id="25"/>
    </w:p>
    <w:p w14:paraId="669F1A69">
      <w:pPr>
        <w:ind w:firstLine="560" w:firstLineChars="200"/>
        <w:rPr>
          <w:sz w:val="28"/>
        </w:rPr>
      </w:pPr>
      <w:r>
        <w:rPr>
          <w:rFonts w:hint="eastAsia"/>
          <w:sz w:val="28"/>
        </w:rPr>
        <w:t>针对当前规划标准僵化与项目经济可行性之间的矛盾，未来的城市更新专门立法必须确立“有效提升”与“弹性代偿”两项核心原则，作为统领全流程的法治基石。</w:t>
      </w:r>
    </w:p>
    <w:p w14:paraId="669F1A6A">
      <w:pPr>
        <w:ind w:firstLine="560" w:firstLineChars="200"/>
        <w:rPr>
          <w:sz w:val="28"/>
        </w:rPr>
      </w:pPr>
      <w:r>
        <w:rPr>
          <w:rFonts w:hint="eastAsia"/>
          <w:sz w:val="28"/>
        </w:rPr>
        <w:t>将“有效提升”设定为法定强制要求。城市更新绝非单纯的房地产开发，立法应将“提升”从政策宣示转化为具有法律约束力的强制性指标。需建立一套科学、可量化的绩效评估体系（涵盖功能复合度、绿色建筑标准、公共空间占比、基础设施承载力等）。任何更新项目的核心指标必须显著优于基准状况，确保其真正服务于公共利益，避免陷入单纯追求经济利益的窠臼。</w:t>
      </w:r>
    </w:p>
    <w:p w14:paraId="669F1A6B">
      <w:pPr>
        <w:ind w:firstLine="560" w:firstLineChars="200"/>
        <w:rPr>
          <w:sz w:val="28"/>
        </w:rPr>
      </w:pPr>
      <w:r>
        <w:rPr>
          <w:rFonts w:hint="eastAsia"/>
          <w:sz w:val="28"/>
        </w:rPr>
        <w:t>构建“弹性代偿”的空间激励机制。在坚守公共安全与历史文化保护底线的前提下，立法应承认建成区“现状约束严、利益平衡难”的特殊性，允许打破新建地区的刚性规划标准，通过出台关于城市更新的“特别法”来破局。具体而言，可授权对建筑密度、日照间距、绿地率等指标进行审慎的适应性优化；同时，必须同步设定严格的“代偿”条件，即“以弹性换公益”——实施主体获取容积率奖励或功能混合许可，必须以提供更多公共开放空间、配建保障性住房或承担历史风貌保护为法定对价。</w:t>
      </w:r>
    </w:p>
    <w:p w14:paraId="669F1A6C">
      <w:pPr>
        <w:pStyle w:val="4"/>
        <w:spacing w:line="360" w:lineRule="auto"/>
      </w:pPr>
      <w:bookmarkStart w:id="26" w:name="_Toc14587"/>
      <w:r>
        <w:rPr>
          <w:rFonts w:hint="eastAsia"/>
        </w:rPr>
        <w:t>（二）制度破局：建立法定的“强制解围”与多元推进机制</w:t>
      </w:r>
      <w:bookmarkEnd w:id="26"/>
    </w:p>
    <w:p w14:paraId="669F1A6D">
      <w:pPr>
        <w:ind w:firstLine="560" w:firstLineChars="200"/>
        <w:rPr>
          <w:sz w:val="28"/>
        </w:rPr>
      </w:pPr>
      <w:r>
        <w:rPr>
          <w:rFonts w:hint="eastAsia"/>
          <w:sz w:val="28"/>
        </w:rPr>
        <w:t>为破解《民法典》高表决门槛带来的“反公地悲剧”，避免重蹈日本因过度保护绝对私权而导致效率极度低下的覆辙，立法需在公共利益与个人物权之间划定合理的法治边界。</w:t>
      </w:r>
    </w:p>
    <w:p w14:paraId="669F1A6E">
      <w:pPr>
        <w:ind w:firstLine="560" w:firstLineChars="200"/>
        <w:rPr>
          <w:sz w:val="28"/>
        </w:rPr>
      </w:pPr>
      <w:r>
        <w:rPr>
          <w:rFonts w:hint="eastAsia"/>
          <w:sz w:val="28"/>
        </w:rPr>
        <w:t>其一，是引入“多数决”下的法定强制退出机制。建议借鉴域外经验，在城市更新特别法或地方性法规中明确：当更新项目获得绝大多数（如90%或95%以上）权利人同意并签订协议后，对于极少数拒不签约、试图谋取超额利益的权利人，赋予实施主体向行政机关申请“强制裁决”或向法院申请“强制解围”的权利，通过法定的公平补偿机制（现金或实物置换），依法排除个体对区域公共利益的绑架。</w:t>
      </w:r>
    </w:p>
    <w:p w14:paraId="669F1A6F">
      <w:pPr>
        <w:ind w:firstLine="560" w:firstLineChars="200"/>
        <w:rPr>
          <w:sz w:val="28"/>
        </w:rPr>
      </w:pPr>
      <w:r>
        <w:rPr>
          <w:rFonts w:hint="eastAsia"/>
          <w:sz w:val="28"/>
        </w:rPr>
        <w:t>其二，需赋予“自主更新组织”明确的法律地位。针对类似杭州浙工新村的自主更新模式，应在法律上明确“自主更新委员会”等自治组织的缔约主体资格与授权边界，使其能够合法合规地代表全体业主行使权利归集、委托代建与资金监管等职能。</w:t>
      </w:r>
    </w:p>
    <w:p w14:paraId="669F1A70">
      <w:pPr>
        <w:pStyle w:val="4"/>
        <w:spacing w:line="360" w:lineRule="auto"/>
      </w:pPr>
      <w:bookmarkStart w:id="27" w:name="_Toc27164"/>
      <w:r>
        <w:rPr>
          <w:rFonts w:hint="eastAsia"/>
        </w:rPr>
        <w:t>（三）产权流转：考虑筹建“住房银行”</w:t>
      </w:r>
      <w:bookmarkEnd w:id="27"/>
    </w:p>
    <w:p w14:paraId="669F1A71">
      <w:pPr>
        <w:ind w:firstLine="560" w:firstLineChars="200"/>
        <w:rPr>
          <w:sz w:val="28"/>
        </w:rPr>
      </w:pPr>
      <w:r>
        <w:rPr>
          <w:rFonts w:hint="eastAsia"/>
          <w:sz w:val="28"/>
        </w:rPr>
        <w:t>面对《土地管理法》下严苛的“净地出让”与流转限制，必须为存量土地的盘活创设特例通道，首先应划定城市更新区域</w:t>
      </w:r>
      <w:r>
        <w:rPr>
          <w:rFonts w:hint="eastAsia"/>
          <w:sz w:val="28"/>
          <w:lang w:eastAsia="zh-CN"/>
        </w:rPr>
        <w:t>，在</w:t>
      </w:r>
      <w:r>
        <w:rPr>
          <w:rFonts w:hint="eastAsia"/>
          <w:sz w:val="28"/>
        </w:rPr>
        <w:t>区域内设置“住房银行”，盘活存量置换需求。</w:t>
      </w:r>
    </w:p>
    <w:p w14:paraId="669F1A72">
      <w:pPr>
        <w:ind w:firstLine="560" w:firstLineChars="200"/>
        <w:rPr>
          <w:sz w:val="28"/>
        </w:rPr>
      </w:pPr>
      <w:r>
        <w:rPr>
          <w:rFonts w:hint="eastAsia"/>
          <w:sz w:val="28"/>
        </w:rPr>
        <w:t>创设“不改变底层物权”的置换登记制度。借鉴日本的“权利变换”经验，在不动产登记实务中增设“更新权益置换”的特定登记类型。允许原房屋所有权与土地使用权在不经过传统的“先收储、再招拍挂”买卖程序的情况下，根据法定评估价值，平滑转移、折算至更新后的新建筑物之上，从法理上打通原业主与社会资本共同参与更新的通道。</w:t>
      </w:r>
    </w:p>
    <w:p w14:paraId="669F1A73">
      <w:pPr>
        <w:ind w:firstLine="560" w:firstLineChars="200"/>
        <w:rPr>
          <w:sz w:val="28"/>
        </w:rPr>
      </w:pPr>
      <w:r>
        <w:rPr>
          <w:rFonts w:hint="eastAsia"/>
          <w:sz w:val="28"/>
        </w:rPr>
        <w:t>特别是，应当考虑创新金融与产权归集联动机制，重点设立政策性“住房银行”。住房银行可通过收购存量住房、发行权益凭证等方式，归集老旧小区分散产权，在释放居民置换需求、助力房地产去库存的同时，为更新项目提供产权清晰的土地资源。</w:t>
      </w:r>
    </w:p>
    <w:p w14:paraId="669F1A74">
      <w:pPr>
        <w:ind w:firstLine="560" w:firstLineChars="200"/>
        <w:rPr>
          <w:sz w:val="28"/>
        </w:rPr>
      </w:pPr>
      <w:r>
        <w:rPr>
          <w:rFonts w:hint="eastAsia"/>
          <w:sz w:val="28"/>
        </w:rPr>
        <w:t>探索“带方案/带建筑物”的灵活供地。针对连片更新项目，允许政府在明确更新方案与公共配套要求的前提下，实施带建筑物的协议出让或定向挂牌；并在建设期间，探索允许原权利人或企业在安全前提下“土地二重使用”（边营业边改造），以最大限度降低商业中断成本。</w:t>
      </w:r>
    </w:p>
    <w:p w14:paraId="669F1A75">
      <w:pPr>
        <w:pStyle w:val="4"/>
        <w:spacing w:line="360" w:lineRule="auto"/>
      </w:pPr>
      <w:bookmarkStart w:id="28" w:name="_Toc10779"/>
      <w:r>
        <w:rPr>
          <w:rFonts w:hint="eastAsia"/>
        </w:rPr>
        <w:t>（四）财税护航：构建适应存量重组的降本减负与金融支持体系</w:t>
      </w:r>
      <w:bookmarkEnd w:id="28"/>
    </w:p>
    <w:p w14:paraId="669F1A76">
      <w:pPr>
        <w:ind w:firstLine="560" w:firstLineChars="200"/>
        <w:rPr>
          <w:sz w:val="28"/>
        </w:rPr>
      </w:pPr>
      <w:r>
        <w:rPr>
          <w:rFonts w:hint="eastAsia"/>
          <w:sz w:val="28"/>
        </w:rPr>
        <w:t>豁免或递延更新过程中的重复征税：财税部门应出台专项指引，对于城市更新中因“物权式权利归集”而产生的过渡性产权过户，只要最终目的是为了回迁安置或公共利益改造，应视同资产重组中的特殊性税务处理，予以免征或暂不征收契税与土地增值税，大幅降低社会资本的摩擦交易成本。</w:t>
      </w:r>
    </w:p>
    <w:p w14:paraId="669F1A77">
      <w:pPr>
        <w:ind w:firstLine="560" w:firstLineChars="200"/>
        <w:rPr>
          <w:sz w:val="28"/>
        </w:rPr>
      </w:pPr>
      <w:r>
        <w:rPr>
          <w:rFonts w:hint="eastAsia"/>
          <w:sz w:val="28"/>
        </w:rPr>
        <w:t>从制度供给端来说，应进一步丰富长期限的城市更新项目金融工具。鼓励探索将更新后的停车场、社区商业等稳定收益资产打包发行基础设施REITs（不动产投资信托基金）；同时，设立政府引导的城市更新专项基金，以财政资金撬动民间资本，解决长周期项目的资金沉淀痛点。</w:t>
      </w:r>
    </w:p>
    <w:p w14:paraId="669F1A78">
      <w:pPr>
        <w:pStyle w:val="3"/>
        <w:spacing w:line="360" w:lineRule="auto"/>
      </w:pPr>
      <w:bookmarkStart w:id="29" w:name="_Toc30697"/>
      <w:r>
        <w:rPr>
          <w:rFonts w:hint="eastAsia"/>
        </w:rPr>
        <w:t>结语</w:t>
      </w:r>
      <w:bookmarkEnd w:id="29"/>
    </w:p>
    <w:p w14:paraId="669F1A79">
      <w:pPr>
        <w:ind w:firstLine="560" w:firstLineChars="200"/>
        <w:rPr>
          <w:sz w:val="28"/>
        </w:rPr>
      </w:pPr>
      <w:r>
        <w:rPr>
          <w:rFonts w:hint="eastAsia"/>
          <w:sz w:val="28"/>
        </w:rPr>
        <w:t>城市更新不仅是空间形态的焕新，更是城市治理能力的法治化重塑。当下的每一次法规突破与制度探索，都在为中国城市现代化的下半场夯实根基。</w:t>
      </w:r>
    </w:p>
    <w:p w14:paraId="669F1A7A">
      <w:pPr>
        <w:ind w:firstLine="560" w:firstLineChars="200"/>
        <w:rPr>
          <w:sz w:val="28"/>
        </w:rPr>
      </w:pPr>
      <w:r>
        <w:rPr>
          <w:rFonts w:hint="eastAsia"/>
          <w:sz w:val="28"/>
        </w:rPr>
        <w:t>2026年是“十五五”规划的开局之年，也是习近平总书记在浙江谋划部署“法治浙江”建设的20周年。在此具有里程碑意义的时代背景下，法治已成为引领改革、破解高质量发展瓶颈的最强引擎。</w:t>
      </w:r>
    </w:p>
    <w:p w14:paraId="669F1A7B">
      <w:pPr>
        <w:ind w:firstLine="560" w:firstLineChars="200"/>
        <w:rPr>
          <w:sz w:val="28"/>
        </w:rPr>
      </w:pPr>
      <w:r>
        <w:rPr>
          <w:rFonts w:hint="eastAsia"/>
          <w:sz w:val="28"/>
        </w:rPr>
        <w:t>立足新起点，浙江省房地产业协会及法律专业委员会将始终秉持“人民城市”理念，紧扣行业痛点，发挥智库担当。本报告的编制单位浙江东鹰律师事务所将一如既往地深耕实务、精研法理，与房地产行业同仁一道，为构建兼具规范性与适应性的城市更新法律体系贡献专业力量，继续为浙江省房地产业的高质量、内涵式发展提供坚实有力的法治护航。</w:t>
      </w:r>
    </w:p>
    <w:sectPr>
      <w:footerReference r:id="rId13" w:type="default"/>
      <w:pgSz w:w="11906" w:h="16838"/>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F1A84">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7"/>
      </w:rPr>
      <w:id w:val="147473875"/>
    </w:sdtPr>
    <w:sdtEndPr>
      <w:rPr>
        <w:rStyle w:val="17"/>
      </w:rPr>
    </w:sdtEndPr>
    <w:sdtContent>
      <w:p w14:paraId="669F1A82">
        <w:pPr>
          <w:pStyle w:val="6"/>
          <w:framePr w:wrap="auto" w:vAnchor="text" w:hAnchor="margin" w:xAlign="right" w:y="1"/>
          <w:ind w:firstLine="360"/>
          <w:rPr>
            <w:rStyle w:val="17"/>
          </w:rPr>
        </w:pPr>
        <w:r>
          <w:rPr>
            <w:rStyle w:val="17"/>
          </w:rPr>
          <w:fldChar w:fldCharType="begin"/>
        </w:r>
        <w:r>
          <w:rPr>
            <w:rStyle w:val="17"/>
          </w:rPr>
          <w:instrText xml:space="preserve"> PAGE </w:instrText>
        </w:r>
        <w:r>
          <w:rPr>
            <w:rStyle w:val="17"/>
          </w:rPr>
          <w:fldChar w:fldCharType="end"/>
        </w:r>
      </w:p>
    </w:sdtContent>
  </w:sdt>
  <w:p w14:paraId="669F1A83">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F1A86">
    <w:pPr>
      <w:pStyle w:val="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F1A88">
    <w:pPr>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9C305">
    <w:pPr>
      <w:jc w:val="center"/>
    </w:pPr>
    <w:r>
      <w:fldChar w:fldCharType="begin"/>
    </w:r>
    <w:r>
      <w:instrText xml:space="preserve">PAGE</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360" w:lineRule="auto"/>
      </w:pPr>
      <w:r>
        <w:separator/>
      </w:r>
    </w:p>
  </w:footnote>
  <w:footnote w:type="continuationSeparator" w:id="3">
    <w:p>
      <w:pPr>
        <w:spacing w:before="0" w:after="0" w:line="360" w:lineRule="auto"/>
      </w:pPr>
      <w:r>
        <w:continuationSeparator/>
      </w:r>
    </w:p>
  </w:footnote>
  <w:footnote w:id="0">
    <w:p w14:paraId="669F1A89">
      <w:pPr>
        <w:pStyle w:val="9"/>
      </w:pPr>
      <w:r>
        <w:rPr>
          <w:rStyle w:val="18"/>
        </w:rPr>
        <w:footnoteRef/>
      </w:r>
      <w:r>
        <w:rPr>
          <w:rFonts w:hint="eastAsia"/>
        </w:rPr>
        <w:t>“反公地悲剧”：指当多个权利主体对同一资源拥有排他性使用权时，因协调困难导致资源闲置或使用不足的现象。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F1A81">
    <w:pPr>
      <w:pStyle w:val="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F1A80">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F1A85">
    <w:pPr>
      <w:pStyle w:val="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F1A87">
    <w:pPr>
      <w:spacing w:after="0" w:line="240" w:lineRule="auto"/>
      <w:ind w:firstLine="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noPunctuationKerning w:val="1"/>
  <w:characterSpacingControl w:val="doNotCompress"/>
  <w:footnotePr>
    <w:footnote w:id="2"/>
    <w:footnote w:id="3"/>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A6C"/>
    <w:rsid w:val="00011441"/>
    <w:rsid w:val="00020147"/>
    <w:rsid w:val="0002598C"/>
    <w:rsid w:val="00025ADC"/>
    <w:rsid w:val="00032742"/>
    <w:rsid w:val="0009043D"/>
    <w:rsid w:val="000932CB"/>
    <w:rsid w:val="000B027B"/>
    <w:rsid w:val="000C28AA"/>
    <w:rsid w:val="000D2765"/>
    <w:rsid w:val="000F7083"/>
    <w:rsid w:val="0011565E"/>
    <w:rsid w:val="00135EA5"/>
    <w:rsid w:val="0016421E"/>
    <w:rsid w:val="00176BE3"/>
    <w:rsid w:val="001C433D"/>
    <w:rsid w:val="001D1BA8"/>
    <w:rsid w:val="001D6620"/>
    <w:rsid w:val="001D75ED"/>
    <w:rsid w:val="001F581D"/>
    <w:rsid w:val="002047ED"/>
    <w:rsid w:val="002206BE"/>
    <w:rsid w:val="00224A6A"/>
    <w:rsid w:val="002475F5"/>
    <w:rsid w:val="0025042B"/>
    <w:rsid w:val="00281F67"/>
    <w:rsid w:val="002B53A1"/>
    <w:rsid w:val="002D2941"/>
    <w:rsid w:val="002D4803"/>
    <w:rsid w:val="002E0D29"/>
    <w:rsid w:val="002E145C"/>
    <w:rsid w:val="002E2B76"/>
    <w:rsid w:val="002F23B6"/>
    <w:rsid w:val="00353C4A"/>
    <w:rsid w:val="00381F21"/>
    <w:rsid w:val="003C62D1"/>
    <w:rsid w:val="003F732F"/>
    <w:rsid w:val="00416A2D"/>
    <w:rsid w:val="004879E6"/>
    <w:rsid w:val="00493720"/>
    <w:rsid w:val="004A28F9"/>
    <w:rsid w:val="004D1654"/>
    <w:rsid w:val="004E1049"/>
    <w:rsid w:val="004F33CF"/>
    <w:rsid w:val="00515EB9"/>
    <w:rsid w:val="005241E8"/>
    <w:rsid w:val="0053110B"/>
    <w:rsid w:val="00535CD9"/>
    <w:rsid w:val="005411B6"/>
    <w:rsid w:val="00542F34"/>
    <w:rsid w:val="00553A8F"/>
    <w:rsid w:val="00581660"/>
    <w:rsid w:val="005855A9"/>
    <w:rsid w:val="005B0A6C"/>
    <w:rsid w:val="005C07DB"/>
    <w:rsid w:val="005E6491"/>
    <w:rsid w:val="005F18CD"/>
    <w:rsid w:val="00601605"/>
    <w:rsid w:val="006039C5"/>
    <w:rsid w:val="006410D9"/>
    <w:rsid w:val="00645CE0"/>
    <w:rsid w:val="00673C04"/>
    <w:rsid w:val="00675211"/>
    <w:rsid w:val="00676F05"/>
    <w:rsid w:val="0069634D"/>
    <w:rsid w:val="006C1EF1"/>
    <w:rsid w:val="00707E96"/>
    <w:rsid w:val="00707F03"/>
    <w:rsid w:val="00736C63"/>
    <w:rsid w:val="00750E29"/>
    <w:rsid w:val="0076783B"/>
    <w:rsid w:val="00772B44"/>
    <w:rsid w:val="00781590"/>
    <w:rsid w:val="0078171D"/>
    <w:rsid w:val="007B462C"/>
    <w:rsid w:val="007B5EDD"/>
    <w:rsid w:val="007B7C92"/>
    <w:rsid w:val="007C42AF"/>
    <w:rsid w:val="007C5490"/>
    <w:rsid w:val="007C72E0"/>
    <w:rsid w:val="007E3E42"/>
    <w:rsid w:val="007F4EAC"/>
    <w:rsid w:val="00837025"/>
    <w:rsid w:val="0084185D"/>
    <w:rsid w:val="008578C8"/>
    <w:rsid w:val="00864F94"/>
    <w:rsid w:val="00885FB4"/>
    <w:rsid w:val="008A26A1"/>
    <w:rsid w:val="008C6B6D"/>
    <w:rsid w:val="008E17AD"/>
    <w:rsid w:val="008E71B6"/>
    <w:rsid w:val="008F747B"/>
    <w:rsid w:val="00922379"/>
    <w:rsid w:val="00923F81"/>
    <w:rsid w:val="00935811"/>
    <w:rsid w:val="009362BF"/>
    <w:rsid w:val="009624F2"/>
    <w:rsid w:val="00962DA6"/>
    <w:rsid w:val="00974C4C"/>
    <w:rsid w:val="0098189E"/>
    <w:rsid w:val="00993A1F"/>
    <w:rsid w:val="009A0C82"/>
    <w:rsid w:val="009D13DB"/>
    <w:rsid w:val="009E62E7"/>
    <w:rsid w:val="00A02954"/>
    <w:rsid w:val="00A575B2"/>
    <w:rsid w:val="00A66F17"/>
    <w:rsid w:val="00A70E6F"/>
    <w:rsid w:val="00A72C80"/>
    <w:rsid w:val="00A90F80"/>
    <w:rsid w:val="00AA630A"/>
    <w:rsid w:val="00AB15D5"/>
    <w:rsid w:val="00AD750D"/>
    <w:rsid w:val="00AE7CDE"/>
    <w:rsid w:val="00B00FF1"/>
    <w:rsid w:val="00B034AF"/>
    <w:rsid w:val="00B051D0"/>
    <w:rsid w:val="00B07918"/>
    <w:rsid w:val="00B21250"/>
    <w:rsid w:val="00B30103"/>
    <w:rsid w:val="00BE09B9"/>
    <w:rsid w:val="00C02274"/>
    <w:rsid w:val="00C14B40"/>
    <w:rsid w:val="00C41123"/>
    <w:rsid w:val="00C706DA"/>
    <w:rsid w:val="00CB0A45"/>
    <w:rsid w:val="00CC7B0E"/>
    <w:rsid w:val="00CD3B29"/>
    <w:rsid w:val="00CD6DD1"/>
    <w:rsid w:val="00D14F37"/>
    <w:rsid w:val="00D42935"/>
    <w:rsid w:val="00D603FA"/>
    <w:rsid w:val="00D86EBF"/>
    <w:rsid w:val="00D9751B"/>
    <w:rsid w:val="00DA4247"/>
    <w:rsid w:val="00DB0CA2"/>
    <w:rsid w:val="00DC0682"/>
    <w:rsid w:val="00DF543D"/>
    <w:rsid w:val="00E06090"/>
    <w:rsid w:val="00E07FC4"/>
    <w:rsid w:val="00E12BEB"/>
    <w:rsid w:val="00E502DF"/>
    <w:rsid w:val="00E728B2"/>
    <w:rsid w:val="00E72F89"/>
    <w:rsid w:val="00E735EF"/>
    <w:rsid w:val="00E74263"/>
    <w:rsid w:val="00E8336F"/>
    <w:rsid w:val="00E87758"/>
    <w:rsid w:val="00E905A7"/>
    <w:rsid w:val="00E90972"/>
    <w:rsid w:val="00EA0232"/>
    <w:rsid w:val="00EA2386"/>
    <w:rsid w:val="00EC2A73"/>
    <w:rsid w:val="00EC44E1"/>
    <w:rsid w:val="00ED1888"/>
    <w:rsid w:val="00ED651B"/>
    <w:rsid w:val="00F072DF"/>
    <w:rsid w:val="00F20C81"/>
    <w:rsid w:val="00F417B0"/>
    <w:rsid w:val="00F430AE"/>
    <w:rsid w:val="00F65BBF"/>
    <w:rsid w:val="00F8420A"/>
    <w:rsid w:val="00F85FD8"/>
    <w:rsid w:val="00F870FF"/>
    <w:rsid w:val="00FE405B"/>
    <w:rsid w:val="070659F4"/>
    <w:rsid w:val="070B5478"/>
    <w:rsid w:val="0808754A"/>
    <w:rsid w:val="08D13DE0"/>
    <w:rsid w:val="096609CC"/>
    <w:rsid w:val="0A5F1331"/>
    <w:rsid w:val="0BB91D0D"/>
    <w:rsid w:val="0E4F7C80"/>
    <w:rsid w:val="0E9C279A"/>
    <w:rsid w:val="0F96368D"/>
    <w:rsid w:val="10B77D5F"/>
    <w:rsid w:val="111D5E14"/>
    <w:rsid w:val="115F642C"/>
    <w:rsid w:val="117E4F5C"/>
    <w:rsid w:val="128C5DF8"/>
    <w:rsid w:val="13AE735A"/>
    <w:rsid w:val="13D84274"/>
    <w:rsid w:val="13FE0AC5"/>
    <w:rsid w:val="150C68CB"/>
    <w:rsid w:val="16CD208A"/>
    <w:rsid w:val="170A4468"/>
    <w:rsid w:val="17944956"/>
    <w:rsid w:val="17A451FC"/>
    <w:rsid w:val="18131D1F"/>
    <w:rsid w:val="1C7916EC"/>
    <w:rsid w:val="1F552C1D"/>
    <w:rsid w:val="211D3C0E"/>
    <w:rsid w:val="222C49E2"/>
    <w:rsid w:val="237C2E6E"/>
    <w:rsid w:val="25382DC5"/>
    <w:rsid w:val="26E4095C"/>
    <w:rsid w:val="275859A0"/>
    <w:rsid w:val="275D3960"/>
    <w:rsid w:val="284101E2"/>
    <w:rsid w:val="28793E20"/>
    <w:rsid w:val="2956400C"/>
    <w:rsid w:val="2A222D2A"/>
    <w:rsid w:val="2A362867"/>
    <w:rsid w:val="2B182402"/>
    <w:rsid w:val="2B3B360F"/>
    <w:rsid w:val="2B563FA5"/>
    <w:rsid w:val="2C683EC4"/>
    <w:rsid w:val="2DCC007F"/>
    <w:rsid w:val="2EA339A5"/>
    <w:rsid w:val="2EC92CDF"/>
    <w:rsid w:val="2FD858D0"/>
    <w:rsid w:val="30B57260"/>
    <w:rsid w:val="322C5A5F"/>
    <w:rsid w:val="32C57C62"/>
    <w:rsid w:val="33210C6F"/>
    <w:rsid w:val="332E24B5"/>
    <w:rsid w:val="34637732"/>
    <w:rsid w:val="35EB3E83"/>
    <w:rsid w:val="37386C54"/>
    <w:rsid w:val="37F708BD"/>
    <w:rsid w:val="38084878"/>
    <w:rsid w:val="3914724D"/>
    <w:rsid w:val="39A259E7"/>
    <w:rsid w:val="3A790053"/>
    <w:rsid w:val="3AB35415"/>
    <w:rsid w:val="3E5720B6"/>
    <w:rsid w:val="3F2E67B9"/>
    <w:rsid w:val="410858E9"/>
    <w:rsid w:val="41BB295C"/>
    <w:rsid w:val="4363294C"/>
    <w:rsid w:val="456F5F37"/>
    <w:rsid w:val="45AC0F39"/>
    <w:rsid w:val="46CD1C47"/>
    <w:rsid w:val="4B4032D9"/>
    <w:rsid w:val="4B46602D"/>
    <w:rsid w:val="4C3E6663"/>
    <w:rsid w:val="4F695963"/>
    <w:rsid w:val="4FA669F9"/>
    <w:rsid w:val="50B069A7"/>
    <w:rsid w:val="50BE7D72"/>
    <w:rsid w:val="52301172"/>
    <w:rsid w:val="52635075"/>
    <w:rsid w:val="52DE294E"/>
    <w:rsid w:val="537D5CC3"/>
    <w:rsid w:val="53E775E0"/>
    <w:rsid w:val="54501629"/>
    <w:rsid w:val="56F269C8"/>
    <w:rsid w:val="590A624B"/>
    <w:rsid w:val="59282B75"/>
    <w:rsid w:val="593037D7"/>
    <w:rsid w:val="5ADF54B5"/>
    <w:rsid w:val="5B002C3D"/>
    <w:rsid w:val="5CF83C14"/>
    <w:rsid w:val="5D50269A"/>
    <w:rsid w:val="5E3873B6"/>
    <w:rsid w:val="600133F4"/>
    <w:rsid w:val="623B56C7"/>
    <w:rsid w:val="62C93AD1"/>
    <w:rsid w:val="67A45DB4"/>
    <w:rsid w:val="68CC315F"/>
    <w:rsid w:val="68E1064A"/>
    <w:rsid w:val="69DD52B6"/>
    <w:rsid w:val="6A6432E1"/>
    <w:rsid w:val="6BD14D48"/>
    <w:rsid w:val="6D8819DC"/>
    <w:rsid w:val="6E5B49FB"/>
    <w:rsid w:val="72646574"/>
    <w:rsid w:val="72B54ABB"/>
    <w:rsid w:val="73041B05"/>
    <w:rsid w:val="742E66FD"/>
    <w:rsid w:val="74C50E20"/>
    <w:rsid w:val="7564688B"/>
    <w:rsid w:val="761D30FA"/>
    <w:rsid w:val="789B6A68"/>
    <w:rsid w:val="790F4D60"/>
    <w:rsid w:val="798C46A4"/>
    <w:rsid w:val="7A106FE1"/>
    <w:rsid w:val="7C662EE9"/>
    <w:rsid w:val="7CA37C99"/>
    <w:rsid w:val="7DF2712A"/>
    <w:rsid w:val="7E047211"/>
    <w:rsid w:val="7E865AC4"/>
    <w:rsid w:val="7E9C0E44"/>
    <w:rsid w:val="FDFB3A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360" w:lineRule="auto"/>
      <w:ind w:firstLine="420"/>
      <w:jc w:val="both"/>
    </w:pPr>
    <w:rPr>
      <w:rFonts w:ascii="Times New Roman" w:hAnsi="Times New Roman" w:eastAsia="宋体" w:cstheme="minorBidi"/>
      <w:color w:val="1A202C"/>
      <w:sz w:val="24"/>
      <w:szCs w:val="22"/>
      <w:lang w:val="en-US" w:eastAsia="zh-CN" w:bidi="ar-SA"/>
    </w:rPr>
  </w:style>
  <w:style w:type="paragraph" w:styleId="2">
    <w:name w:val="heading 1"/>
    <w:basedOn w:val="1"/>
    <w:qFormat/>
    <w:uiPriority w:val="0"/>
    <w:pPr>
      <w:keepNext/>
      <w:keepLines/>
      <w:spacing w:before="480" w:after="240"/>
      <w:ind w:firstLine="0"/>
      <w:jc w:val="center"/>
      <w:outlineLvl w:val="0"/>
    </w:pPr>
    <w:rPr>
      <w:rFonts w:eastAsia="黑体"/>
      <w:b/>
      <w:color w:val="auto"/>
      <w:sz w:val="44"/>
    </w:rPr>
  </w:style>
  <w:style w:type="paragraph" w:styleId="3">
    <w:name w:val="heading 2"/>
    <w:basedOn w:val="1"/>
    <w:qFormat/>
    <w:uiPriority w:val="0"/>
    <w:pPr>
      <w:keepNext/>
      <w:keepLines/>
      <w:spacing w:before="320" w:after="160" w:line="240" w:lineRule="auto"/>
      <w:ind w:firstLine="0"/>
      <w:jc w:val="left"/>
      <w:outlineLvl w:val="1"/>
    </w:pPr>
    <w:rPr>
      <w:rFonts w:eastAsia="黑体"/>
      <w:b/>
      <w:color w:val="auto"/>
      <w:sz w:val="28"/>
    </w:rPr>
  </w:style>
  <w:style w:type="paragraph" w:styleId="4">
    <w:name w:val="heading 3"/>
    <w:basedOn w:val="1"/>
    <w:qFormat/>
    <w:uiPriority w:val="0"/>
    <w:pPr>
      <w:keepNext/>
      <w:keepLines/>
      <w:spacing w:before="240" w:after="120" w:line="240" w:lineRule="auto"/>
      <w:ind w:firstLine="0"/>
      <w:jc w:val="left"/>
      <w:outlineLvl w:val="2"/>
    </w:pPr>
    <w:rPr>
      <w:b/>
      <w:sz w:val="28"/>
    </w:rPr>
  </w:style>
  <w:style w:type="character" w:default="1" w:styleId="15">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qFormat/>
    <w:uiPriority w:val="0"/>
    <w:pPr>
      <w:ind w:left="840" w:leftChars="400"/>
    </w:pPr>
  </w:style>
  <w:style w:type="paragraph" w:styleId="6">
    <w:name w:val="footer"/>
    <w:basedOn w:val="1"/>
    <w:link w:val="20"/>
    <w:qFormat/>
    <w:uiPriority w:val="0"/>
    <w:pPr>
      <w:tabs>
        <w:tab w:val="center" w:pos="4153"/>
        <w:tab w:val="right" w:pos="8306"/>
      </w:tabs>
      <w:snapToGrid w:val="0"/>
      <w:spacing w:line="240" w:lineRule="auto"/>
      <w:jc w:val="left"/>
    </w:pPr>
    <w:rPr>
      <w:sz w:val="18"/>
      <w:szCs w:val="18"/>
    </w:rPr>
  </w:style>
  <w:style w:type="paragraph" w:styleId="7">
    <w:name w:val="header"/>
    <w:basedOn w:val="1"/>
    <w:link w:val="19"/>
    <w:qFormat/>
    <w:uiPriority w:val="0"/>
    <w:pPr>
      <w:tabs>
        <w:tab w:val="center" w:pos="4153"/>
        <w:tab w:val="right" w:pos="8306"/>
      </w:tabs>
      <w:snapToGrid w:val="0"/>
      <w:spacing w:line="240" w:lineRule="auto"/>
      <w:jc w:val="center"/>
    </w:pPr>
    <w:rPr>
      <w:sz w:val="18"/>
      <w:szCs w:val="18"/>
    </w:rPr>
  </w:style>
  <w:style w:type="paragraph" w:styleId="8">
    <w:name w:val="toc 1"/>
    <w:basedOn w:val="1"/>
    <w:next w:val="1"/>
    <w:qFormat/>
    <w:uiPriority w:val="0"/>
  </w:style>
  <w:style w:type="paragraph" w:styleId="9">
    <w:name w:val="footnote text"/>
    <w:basedOn w:val="1"/>
    <w:qFormat/>
    <w:uiPriority w:val="0"/>
    <w:pPr>
      <w:snapToGrid w:val="0"/>
      <w:jc w:val="left"/>
    </w:pPr>
    <w:rPr>
      <w:sz w:val="18"/>
    </w:rPr>
  </w:style>
  <w:style w:type="paragraph" w:styleId="10">
    <w:name w:val="toc 2"/>
    <w:basedOn w:val="1"/>
    <w:next w:val="1"/>
    <w:qFormat/>
    <w:uiPriority w:val="0"/>
    <w:pPr>
      <w:ind w:left="420" w:leftChars="200"/>
    </w:pPr>
  </w:style>
  <w:style w:type="paragraph" w:styleId="11">
    <w:name w:val="Normal (Web)"/>
    <w:basedOn w:val="1"/>
    <w:qFormat/>
    <w:uiPriority w:val="0"/>
    <w:pPr>
      <w:spacing w:beforeAutospacing="1" w:after="0" w:afterAutospacing="1"/>
      <w:jc w:val="left"/>
    </w:pPr>
    <w:rPr>
      <w:rFonts w:cs="Times New Roman"/>
    </w:rPr>
  </w:style>
  <w:style w:type="paragraph" w:styleId="12">
    <w:name w:val="Title"/>
    <w:basedOn w:val="1"/>
    <w:next w:val="1"/>
    <w:qFormat/>
    <w:uiPriority w:val="10"/>
    <w:pPr>
      <w:spacing w:before="240" w:after="60" w:line="480" w:lineRule="auto"/>
      <w:jc w:val="center"/>
      <w:outlineLvl w:val="0"/>
    </w:pPr>
    <w:rPr>
      <w:rFonts w:asciiTheme="majorHAnsi" w:hAnsiTheme="majorHAnsi" w:eastAsiaTheme="majorEastAsia" w:cstheme="majorBidi"/>
      <w:b/>
      <w:bCs/>
      <w:sz w:val="52"/>
      <w:szCs w:val="32"/>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page number"/>
    <w:basedOn w:val="15"/>
    <w:semiHidden/>
    <w:unhideWhenUsed/>
    <w:qFormat/>
    <w:uiPriority w:val="99"/>
  </w:style>
  <w:style w:type="character" w:styleId="18">
    <w:name w:val="footnote reference"/>
    <w:basedOn w:val="15"/>
    <w:qFormat/>
    <w:uiPriority w:val="0"/>
    <w:rPr>
      <w:vertAlign w:val="superscript"/>
    </w:rPr>
  </w:style>
  <w:style w:type="character" w:customStyle="1" w:styleId="19">
    <w:name w:val="页眉 字符"/>
    <w:basedOn w:val="15"/>
    <w:link w:val="7"/>
    <w:qFormat/>
    <w:uiPriority w:val="0"/>
    <w:rPr>
      <w:rFonts w:cstheme="minorBidi"/>
      <w:color w:val="1A202C"/>
      <w:sz w:val="18"/>
      <w:szCs w:val="18"/>
    </w:rPr>
  </w:style>
  <w:style w:type="character" w:customStyle="1" w:styleId="20">
    <w:name w:val="页脚 字符"/>
    <w:basedOn w:val="15"/>
    <w:link w:val="6"/>
    <w:qFormat/>
    <w:uiPriority w:val="0"/>
    <w:rPr>
      <w:rFonts w:cstheme="minorBidi"/>
      <w:color w:val="1A202C"/>
      <w:sz w:val="18"/>
      <w:szCs w:val="18"/>
    </w:rPr>
  </w:style>
  <w:style w:type="paragraph" w:customStyle="1" w:styleId="21">
    <w:name w:val="WPSOffice手动目录 1"/>
    <w:qFormat/>
    <w:uiPriority w:val="0"/>
    <w:rPr>
      <w:rFonts w:ascii="Times New Roman" w:hAnsi="Times New Roman" w:eastAsia="宋体" w:cs="Times New Roman"/>
      <w:lang w:val="en-US" w:eastAsia="zh-CN" w:bidi="ar-SA"/>
    </w:rPr>
  </w:style>
  <w:style w:type="paragraph" w:customStyle="1" w:styleId="22">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3">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24">
    <w:name w:val="书籍标题1"/>
    <w:basedOn w:val="15"/>
    <w:qFormat/>
    <w:uiPriority w:val="33"/>
    <w:rPr>
      <w:b/>
      <w:bCs/>
      <w:i/>
      <w:iCs/>
      <w:spacing w:val="5"/>
    </w:rPr>
  </w:style>
  <w:style w:type="paragraph" w:styleId="25">
    <w:name w:val="Intense Quote"/>
    <w:basedOn w:val="1"/>
    <w:next w:val="1"/>
    <w:autoRedefine/>
    <w:qFormat/>
    <w:uiPriority w:val="30"/>
    <w:pPr>
      <w:pBdr>
        <w:top w:val="single" w:color="4F81BD" w:themeColor="accent1" w:sz="4" w:space="10"/>
        <w:bottom w:val="single" w:color="4F81BD" w:themeColor="accent1" w:sz="4" w:space="10"/>
      </w:pBdr>
      <w:spacing w:before="360" w:after="360"/>
      <w:ind w:left="864" w:right="864"/>
      <w:jc w:val="center"/>
    </w:pPr>
    <w:rPr>
      <w:iCs/>
      <w:color w:val="4F81BD" w:themeColor="accent1"/>
      <w14:textFill>
        <w14:solidFill>
          <w14:schemeClr w14:val="accent1"/>
        </w14:solidFill>
      </w14:textFill>
    </w:rPr>
  </w:style>
  <w:style w:type="paragraph" w:customStyle="1" w:styleId="26">
    <w:name w:val="Revision"/>
    <w:hidden/>
    <w:unhideWhenUsed/>
    <w:qFormat/>
    <w:uiPriority w:val="99"/>
    <w:rPr>
      <w:rFonts w:ascii="Times New Roman" w:hAnsi="Times New Roman" w:eastAsia="宋体" w:cstheme="minorBidi"/>
      <w:color w:val="1A202C"/>
      <w:sz w:val="24"/>
      <w:szCs w:val="22"/>
      <w:lang w:val="en-US" w:eastAsia="zh-CN" w:bidi="ar-SA"/>
    </w:rPr>
  </w:style>
  <w:style w:type="table" w:customStyle="1" w:styleId="27">
    <w:name w:val="Grid Table 5 Dark Accent 1"/>
    <w:basedOn w:val="13"/>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cPr>
        <w:shd w:val="clear" w:color="auto" w:fill="B8CCE4" w:themeFill="accent1" w:themeFillTint="66"/>
      </w:tcPr>
    </w:tblStylePr>
    <w:tblStylePr w:type="band1Horz">
      <w:tcPr>
        <w:shd w:val="clear" w:color="auto" w:fill="B8CCE4" w:themeFill="accent1" w:themeFillTint="66"/>
      </w:tcPr>
    </w:tblStyle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1bab0c6c-df30-4531-8ff6-fc94da7a98b1</errorID>
      <errorWord>1980年代</errorWord>
      <group>L1_Knowledge</group>
      <groupName>知识性问题</groupName>
      <ability>L2_Time</ability>
      <abilityName>日期时间</abilityName>
      <candidateList>
        <item>20世纪80年代</item>
      </candidateList>
      <explain>年代表述建议使用世纪+年代的格式。</explain>
      <paraID> 7D5B93E</paraID>
      <start>0</start>
      <end>6</end>
      <status>unmodified</status>
      <modifiedWord/>
      <trackRevisions>false</trackRevisions>
    </reviewItem>
    <reviewItem>
      <errorID>3d8858cf-4462-46e8-8642-1df1c6d53b0e</errorID>
      <errorWord>1990年代</errorWord>
      <group>L1_Knowledge</group>
      <groupName>知识性问题</groupName>
      <ability>L2_Time</ability>
      <abilityName>日期时间</abilityName>
      <candidateList>
        <item>20世纪90年代</item>
      </candidateList>
      <explain>年代表述建议使用世纪+年代的格式。</explain>
      <paraID>6847228D</paraID>
      <start>0</start>
      <end>6</end>
      <status>unmodified</status>
      <modifiedWord/>
      <trackRevisions>false</trackRevisions>
    </reviewItem>
    <reviewItem>
      <errorID>2d1b2e61-781f-4c8a-9814-517df5658753</errorID>
      <errorWord>2010年代</errorWord>
      <group>L1_Knowledge</group>
      <groupName>知识性问题</groupName>
      <ability>L2_Time</ability>
      <abilityName>日期时间</abilityName>
      <candidateList>
        <item>21世纪10年代</item>
      </candidateList>
      <explain>年代表述建议使用世纪+年代的格式。</explain>
      <paraID>2A8A672A</paraID>
      <start>6</start>
      <end>12</end>
      <status>unmodified</status>
      <modifiedWord/>
      <trackRevisions>false</trackRevisions>
    </reviewItem>
    <reviewItem>
      <errorID>070bfb15-ac66-49df-909e-4f4cf9e902d4</errorID>
      <errorWord>2000年代</errorWord>
      <group>L1_Knowledge</group>
      <groupName>知识性问题</groupName>
      <ability>L2_Time</ability>
      <abilityName>日期时间</abilityName>
      <candidateList>
        <item>2000年</item>
      </candidateList>
      <explain>“年代” 在历史表述中通常指十年区间，“2000年代”这种写法不符合汉语习惯，建议使用“2000年”。</explain>
      <paraID>29278A7B</paraID>
      <start>0</start>
      <end>6</end>
      <status>unmodified</status>
      <modifiedWord/>
      <trackRevisions>false</trackRevisions>
    </reviewItem>
    <reviewItem>
      <errorID>e5908059-ba7a-4bf3-9d07-12c68a6a842f</errorID>
      <errorWord>2010年代</errorWord>
      <group>L1_Knowledge</group>
      <groupName>知识性问题</groupName>
      <ability>L2_Time</ability>
      <abilityName>日期时间</abilityName>
      <candidateList>
        <item>21世纪10年代</item>
      </candidateList>
      <explain>年代表述建议使用世纪+年代的格式。</explain>
      <paraID>29278A7B</paraID>
      <start>8</start>
      <end>14</end>
      <status>unmodified</status>
      <modifiedWord/>
      <trackRevisions>false</trackRevisions>
    </reviewItem>
    <reviewItem>
      <errorID>15158f60-9bfa-439e-aa32-f0e37125cdda</errorID>
      <errorWord>与原</errorWord>
      <group>L1_Word</group>
      <groupName>字词问题</groupName>
      <ability>L2_Typo</ability>
      <abilityName>字词错误</abilityName>
      <candidateList>
        <item>与</item>
      </candidateList>
      <explain>（舆）yù参与：～会。</explain>
      <paraID> BF123D8</paraID>
      <start>9</start>
      <end>11</end>
      <status>ignored</status>
      <modifiedWord/>
      <trackRevisions>false</trackRevisions>
    </reviewItem>
    <reviewItem>
      <errorID>d1a9316b-91cc-4c82-8e4b-45bcb602fcae</errorID>
      <errorWord>土地管理法</errorWord>
      <group>L1_Knowledge</group>
      <groupName>知识性问题</groupName>
      <ability>L2_Knowledge</ability>
      <abilityName>其他知识</abilityName>
      <candidateList>
        <item>中华人民共和国土地管理法</item>
      </candidateList>
      <explain>当前法律法规名称使用简称，请注意是否应当使用全称。</explain>
      <paraID>669F19F3</paraID>
      <start>53</start>
      <end>58</end>
      <status>unmodified</status>
      <modifiedWord/>
      <trackRevisions>false</trackRevisions>
    </reviewItem>
    <reviewItem>
      <errorID>8e103503-79fa-4220-a418-c1b0146ddeb9</errorID>
      <errorWord>城乡规划法</errorWord>
      <group>L1_Knowledge</group>
      <groupName>知识性问题</groupName>
      <ability>L2_Knowledge</ability>
      <abilityName>其他知识</abilityName>
      <candidateList>
        <item>中华人民共和国城乡规划法</item>
      </candidateList>
      <explain>当前法律法规名称使用简称，请注意是否应当使用全称。</explain>
      <paraID>669F19F3</paraID>
      <start>60</start>
      <end>65</end>
      <status>unmodified</status>
      <modifiedWord/>
      <trackRevisions>false</trackRevisions>
    </reviewItem>
    <reviewItem>
      <errorID>7ea98af2-4dd7-42fc-9073-c9ce7f90ae40</errorID>
      <errorWord>二十世纪</errorWord>
      <group>L1_AI</group>
      <groupName>深度校对</groupName>
      <ability>L2_AI_Word</ability>
      <abilityName>字词纠错</abilityName>
      <candidateList>
        <item>20世纪</item>
      </candidateList>
      <explain/>
      <paraID>669F19F6</paraID>
      <start>54</start>
      <end>58</end>
      <status>unmodified</status>
      <modifiedWord/>
      <trackRevisions>false</trackRevisions>
    </reviewItem>
    <reviewItem>
      <errorID>f57b2814-f800-4caa-b6bb-9f11d7572279</errorID>
      <errorWord>城乡规划法</errorWord>
      <group>L1_Knowledge</group>
      <groupName>知识性问题</groupName>
      <ability>L2_Knowledge</ability>
      <abilityName>其他知识</abilityName>
      <candidateList>
        <item>中华人民共和国城乡规划法</item>
      </candidateList>
      <explain>当前法律法规名称使用简称，请注意是否应当使用全称。</explain>
      <paraID>669F1A01</paraID>
      <start>12</start>
      <end>17</end>
      <status>ignored</status>
      <modifiedWord/>
      <trackRevisions>false</trackRevisions>
    </reviewItem>
    <reviewItem>
      <errorID>f509b313-c1d1-45f3-bcb3-f329b719a605</errorID>
      <errorWord> </errorWord>
      <group>L1_AI</group>
      <groupName>深度校对</groupName>
      <ability>L2_AI_Punc</ability>
      <abilityName>标点纠错</abilityName>
      <candidateList>
        <item/>
      </candidateList>
      <explain>此处空格冗余，建议删除。</explain>
      <paraID>669F1A0A</paraID>
      <start>31</start>
      <end>32</end>
      <status>unmodified</status>
      <modifiedWord/>
      <trackRevisions>false</trackRevisions>
    </reviewItem>
    <reviewItem>
      <errorID>d936bc7c-1004-49dd-99af-78903f6f9450</errorID>
      <errorWord>城乡规划法</errorWord>
      <group>L1_Knowledge</group>
      <groupName>知识性问题</groupName>
      <ability>L2_Knowledge</ability>
      <abilityName>其他知识</abilityName>
      <candidateList>
        <item>中华人民共和国城乡规划法</item>
      </candidateList>
      <explain>当前法律法规名称使用简称，请注意是否应当使用全称。</explain>
      <paraID>669F1A0A</paraID>
      <start>59</start>
      <end>64</end>
      <status>unmodified</status>
      <modifiedWord/>
      <trackRevisions>false</trackRevisions>
    </reviewItem>
    <reviewItem>
      <errorID>ddfdbc05-2d3b-42fa-815f-2fa002311aa1</errorID>
      <errorWord>城乡规划法</errorWord>
      <group>L1_Knowledge</group>
      <groupName>知识性问题</groupName>
      <ability>L2_Knowledge</ability>
      <abilityName>其他知识</abilityName>
      <candidateList>
        <item>中华人民共和国城乡规划法</item>
      </candidateList>
      <explain>当前法律法规名称使用简称，请注意是否应当使用全称。</explain>
      <paraID>669F1A0E</paraID>
      <start>4</start>
      <end>9</end>
      <status>unmodified</status>
      <modifiedWord/>
      <trackRevisions>false</trackRevisions>
    </reviewItem>
    <reviewItem>
      <errorID>19152170-c202-4a63-a95b-5188f7bcd341</errorID>
      <errorWord>城乡规划法</errorWord>
      <group>L1_Knowledge</group>
      <groupName>知识性问题</groupName>
      <ability>L2_Knowledge</ability>
      <abilityName>其他知识</abilityName>
      <candidateList>
        <item>中华人民共和国城乡规划法</item>
      </candidateList>
      <explain>当前法律法规名称使用简称，请注意是否应当使用全称。</explain>
      <paraID>669F1A0F</paraID>
      <start>4</start>
      <end>9</end>
      <status>unmodified</status>
      <modifiedWord/>
      <trackRevisions>false</trackRevisions>
    </reviewItem>
    <reviewItem>
      <errorID>94e4cc03-e589-4ac9-a912-c750826a681b</errorID>
      <errorWord>繁琐</errorWord>
      <group>L1_Word</group>
      <groupName>字词问题</groupName>
      <ability>L2_Typo</ability>
      <abilityName>字词错误</abilityName>
      <candidateList>
        <item>烦琐</item>
      </candidateList>
      <explain/>
      <paraID>669F1A10</paraID>
      <start>75</start>
      <end>77</end>
      <status>unmodified</status>
      <modifiedWord/>
      <trackRevisions>false</trackRevisions>
    </reviewItem>
    <reviewItem>
      <errorID>96753528-de9a-49eb-8d73-f96e0b94b59e</errorID>
      <errorWord>亟需</errorWord>
      <group>L1_Word</group>
      <groupName>字词问题</groupName>
      <ability>L2_Typo</ability>
      <abilityName>字词错误</abilityName>
      <candidateList>
        <item>亟须</item>
      </candidateList>
      <explain/>
      <paraID>669F1A11</paraID>
      <start>116</start>
      <end>118</end>
      <status>unmodified</status>
      <modifiedWord/>
      <trackRevisions>false</trackRevisions>
    </reviewItem>
    <reviewItem>
      <errorID>904fcbb5-1cce-4c9c-bae3-111ef67bddac</errorID>
      <errorWord>土地管理法</errorWord>
      <group>L1_Knowledge</group>
      <groupName>知识性问题</groupName>
      <ability>L2_Knowledge</ability>
      <abilityName>其他知识</abilityName>
      <candidateList>
        <item>中华人民共和国土地管理法</item>
      </candidateList>
      <explain>当前法律法规名称使用简称，请注意是否应当使用全称。</explain>
      <paraID>669F1A12</paraID>
      <start>4</start>
      <end>9</end>
      <status>unmodified</status>
      <modifiedWord/>
      <trackRevisions>false</trackRevisions>
    </reviewItem>
    <reviewItem>
      <errorID>f9a2281c-b7a2-4343-83dd-9467becb58e4</errorID>
      <errorWord>土地管理法</errorWord>
      <group>L1_Knowledge</group>
      <groupName>知识性问题</groupName>
      <ability>L2_Knowledge</ability>
      <abilityName>其他知识</abilityName>
      <candidateList>
        <item>中华人民共和国土地管理法</item>
      </candidateList>
      <explain>当前法律法规名称使用简称，请注意是否应当使用全称。</explain>
      <paraID>669F1A13</paraID>
      <start>1</start>
      <end>6</end>
      <status>unmodified</status>
      <modifiedWord/>
      <trackRevisions>false</trackRevisions>
    </reviewItem>
    <reviewItem>
      <errorID>5bab593a-bb83-4202-9ed3-7c5ece7eb659</errorID>
      <errorWord>《民法典》</errorWord>
      <group>L1_Word</group>
      <groupName>字词问题</groupName>
      <ability>L2_Typo</ability>
      <abilityName>字词错误</abilityName>
      <candidateList>
        <item>《中华人民共和国民法典》</item>
      </candidateList>
      <explain/>
      <paraID>669F1A16</paraID>
      <start>3</start>
      <end>8</end>
      <status>unmodified</status>
      <modifiedWord/>
      <trackRevisions>false</trackRevisions>
    </reviewItem>
    <reviewItem>
      <errorID>66fc9bc0-e51b-4acd-b414-9ff99dba6a80</errorID>
      <errorWord>《民法典》</errorWord>
      <group>L1_Word</group>
      <groupName>字词问题</groupName>
      <ability>L2_Typo</ability>
      <abilityName>字词错误</abilityName>
      <candidateList>
        <item>《中华人民共和国民法典》</item>
      </candidateList>
      <explain/>
      <paraID>669F1A17</paraID>
      <start>16</start>
      <end>21</end>
      <status>unmodified</status>
      <modifiedWord/>
      <trackRevisions>false</trackRevisions>
    </reviewItem>
    <reviewItem>
      <errorID>5fd6cf63-6f62-468c-8dc0-990eb719b24a</errorID>
      <errorWord>《民法典》</errorWord>
      <group>L1_Word</group>
      <groupName>字词问题</groupName>
      <ability>L2_Typo</ability>
      <abilityName>字词错误</abilityName>
      <candidateList>
        <item>《中华人民共和国民法典》</item>
      </candidateList>
      <explain/>
      <paraID>669F1A18</paraID>
      <start>2</start>
      <end>7</end>
      <status>unmodified</status>
      <modifiedWord/>
      <trackRevisions>false</trackRevisions>
    </reviewItem>
    <reviewItem>
      <errorID>37b83af6-46e1-49a5-a472-3fb7e5bf7638</errorID>
      <errorWord>《民法典》</errorWord>
      <group>L1_Word</group>
      <groupName>字词问题</groupName>
      <ability>L2_Typo</ability>
      <abilityName>字词错误</abilityName>
      <candidateList>
        <item>《中华人民共和国民法典》</item>
      </candidateList>
      <explain/>
      <paraID>669F1A19</paraID>
      <start>77</start>
      <end>82</end>
      <status>unmodified</status>
      <modifiedWord/>
      <trackRevisions>false</trackRevisions>
    </reviewItem>
    <reviewItem>
      <errorID>6505d76a-c0ce-41ce-9803-77866fdb98d5</errorID>
      <errorWord>土地管理法</errorWord>
      <group>L1_Knowledge</group>
      <groupName>知识性问题</groupName>
      <ability>L2_Knowledge</ability>
      <abilityName>其他知识</abilityName>
      <candidateList>
        <item>中华人民共和国土地管理法</item>
      </candidateList>
      <explain>当前法律法规名称使用简称，请注意是否应当使用全称。</explain>
      <paraID>669F1A27</paraID>
      <start>3</start>
      <end>8</end>
      <status>unmodified</status>
      <modifiedWord/>
      <trackRevisions>false</trackRevisions>
    </reviewItem>
    <reviewItem>
      <errorID>042ca9ef-639e-4894-a0e9-9979ca0cfdfe</errorID>
      <errorWord>中带</errorWord>
      <group>L1_Word</group>
      <groupName>字词问题</groupName>
      <ability>L2_Typo</ability>
      <abilityName>字词错误</abilityName>
      <candidateList>
        <item>中</item>
      </candidateList>
      <explain>〈动〉❶正对上；恰好合上：～选｜猜～了｜三枪都打～了目标。❷受到；遭受：～毒｜～暑｜胳膊上～了一枪。</explain>
      <paraID>669F1A27</paraID>
      <start>30</start>
      <end>32</end>
      <status>unmodified</status>
      <modifiedWord/>
      <trackRevisions>false</trackRevisions>
    </reviewItem>
    <reviewItem>
      <errorID>5fe4de35-5968-437f-9a9b-aafb7d134514</errorID>
      <errorWord>《民法典》</errorWord>
      <group>L1_Word</group>
      <groupName>字词问题</groupName>
      <ability>L2_Typo</ability>
      <abilityName>字词错误</abilityName>
      <candidateList>
        <item>《中华人民共和国民法典》</item>
      </candidateList>
      <explain/>
      <paraID>669F1A2C</paraID>
      <start>4</start>
      <end>9</end>
      <status>unmodified</status>
      <modifiedWord/>
      <trackRevisions>false</trackRevisions>
    </reviewItem>
    <reviewItem>
      <errorID>158741c2-66fe-473e-bb5c-4befa7fb83bc</errorID>
      <errorWord>《民法典》</errorWord>
      <group>L1_Word</group>
      <groupName>字词问题</groupName>
      <ability>L2_Typo</ability>
      <abilityName>字词错误</abilityName>
      <candidateList>
        <item>《中华人民共和国民法典》</item>
      </candidateList>
      <explain/>
      <paraID>669F1A3E</paraID>
      <start>2</start>
      <end>7</end>
      <status>unmodified</status>
      <modifiedWord/>
      <trackRevisions>false</trackRevisions>
    </reviewItem>
    <reviewItem>
      <errorID>208654b4-603e-4dfe-9f47-fb185139cb74</errorID>
      <errorWord>《民法典》</errorWord>
      <group>L1_Word</group>
      <groupName>字词问题</groupName>
      <ability>L2_Typo</ability>
      <abilityName>字词错误</abilityName>
      <candidateList>
        <item>《中华人民共和国民法典》</item>
      </candidateList>
      <explain/>
      <paraID>669F1A42</paraID>
      <start>167</start>
      <end>172</end>
      <status>unmodified</status>
      <modifiedWord/>
      <trackRevisions>false</trackRevisions>
    </reviewItem>
    <reviewItem>
      <errorID>8f2ed9be-cdfd-41de-acd4-335e38529bff</errorID>
      <errorWord>亟需</errorWord>
      <group>L1_Word</group>
      <groupName>字词问题</groupName>
      <ability>L2_Typo</ability>
      <abilityName>字词错误</abilityName>
      <candidateList>
        <item>亟须</item>
      </candidateList>
      <explain/>
      <paraID>669F1A65</paraID>
      <start>133</start>
      <end>135</end>
      <status>unmodified</status>
      <modifiedWord/>
      <trackRevisions>false</trackRevisions>
    </reviewItem>
    <reviewItem>
      <errorID>6a4f536d-1785-4c03-9068-0e5d4f53b59c</errorID>
      <errorWord>亟需</errorWord>
      <group>L1_Word</group>
      <groupName>字词问题</groupName>
      <ability>L2_Typo</ability>
      <abilityName>字词错误</abilityName>
      <candidateList>
        <item>亟须</item>
      </candidateList>
      <explain/>
      <paraID>669F1A67</paraID>
      <start>81</start>
      <end>83</end>
      <status>unmodified</status>
      <modifiedWord/>
      <trackRevisions>false</trackRevisions>
    </reviewItem>
    <reviewItem>
      <errorID>d2d8b5d2-0f87-44c1-97e7-0a5270db0b2c</errorID>
      <errorWord>《民法典》</errorWord>
      <group>L1_Word</group>
      <groupName>字词问题</groupName>
      <ability>L2_Typo</ability>
      <abilityName>字词错误</abilityName>
      <candidateList>
        <item>《中华人民共和国民法典》</item>
      </candidateList>
      <explain/>
      <paraID>669F1A6D</paraID>
      <start>3</start>
      <end>8</end>
      <status>unmodified</status>
      <modifiedWord/>
      <trackRevisions>false</trackRevisions>
    </reviewItem>
    <reviewItem>
      <errorID>069be6b5-363e-42d3-869e-e655759a2659</errorID>
      <errorWord>土地管理法</errorWord>
      <group>L1_Knowledge</group>
      <groupName>知识性问题</groupName>
      <ability>L2_Knowledge</ability>
      <abilityName>其他知识</abilityName>
      <candidateList>
        <item>中华人民共和国土地管理法</item>
      </candidateList>
      <explain>当前法律法规名称使用简称，请注意是否应当使用全称。</explain>
      <paraID>669F1A71</paraID>
      <start>3</start>
      <end>8</end>
      <status>unmodified</status>
      <modifiedWord/>
      <trackRevisions>false</trackRevisions>
    </reviewItem>
    <reviewItem>
      <errorID>3f82b5e3-0f9c-459a-b543-55bd8a614106</errorID>
      <errorWord>，</errorWord>
      <group>L1_Word</group>
      <groupName>字词问题</groupName>
      <ability>L2_Typo</ability>
      <abilityName>字词错误</abilityName>
      <candidateList>
        <item>，在</item>
      </candidateList>
      <explain/>
      <paraID>669F1A71</paraID>
      <start>53</start>
      <end>55</end>
      <status>modified</status>
      <modifiedWord>，在</modifiedWord>
      <trackRevisions>false</trackRevisions>
    </reviewItem>
    <reviewItem>
      <errorID>5eb2472b-fcee-4e77-8c76-e18d97ad4731</errorID>
      <errorWord>目的是为了</errorWord>
      <group>L1_Word</group>
      <groupName>字词问题</groupName>
      <ability>L2_Typo</ability>
      <abilityName>字词错误</abilityName>
      <candidateList>
        <item>目的是</item>
      </candidateList>
      <explain/>
      <paraID>669F1A76</paraID>
      <start>61</start>
      <end>66</end>
      <status>ignored</status>
      <modifiedWord/>
      <trackRevisions>false</trackRevisions>
    </reviewItem>
  </reviewItems>
  <config/>
</contractReview>
</file>

<file path=customXml/itemProps1.xml><?xml version="1.0" encoding="utf-8"?>
<ds:datastoreItem xmlns:ds="http://schemas.openxmlformats.org/officeDocument/2006/customXml" ds:itemID="{096C5A0E-5D65-4761-8D28-29D384B7C42E}">
  <ds:schemaRefs/>
</ds:datastoreItem>
</file>

<file path=customXml/itemProps2.xml><?xml version="1.0" encoding="utf-8"?>
<ds:datastoreItem xmlns:ds="http://schemas.openxmlformats.org/officeDocument/2006/customXml" ds:itemID="{4eb482a7-1083-42ab-aeb8-c1bf9f10a147}">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1406</Words>
  <Characters>1438</Characters>
  <Lines>379</Lines>
  <Paragraphs>247</Paragraphs>
  <TotalTime>13</TotalTime>
  <ScaleCrop>false</ScaleCrop>
  <LinksUpToDate>false</LinksUpToDate>
  <CharactersWithSpaces>1523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2026-02-23T20:35:00Z</dcterms:created>
  <dc:creator>lz</dc:creator>
  <cp:lastModifiedBy>小梨粥</cp:lastModifiedBy>
  <dcterms:modified xsi:type="dcterms:W3CDTF">2026-09-02T02:23:35Z</dcterms:modified>
  <cp:revision>146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eyJoZGlkIjoiYzM1YjA0YTU4NmVlYzg4MDVhNzBmYzAwMTM1Njc5ODEiLCJ1c2VySWQiOiI1OTAzOTQzMzMifQ==</vt:lpwstr>
  </property>
  <property fmtid="{D5CDD505-2E9C-101B-9397-08002B2CF9AE}" pid="3" name="KSOProductBuildVer">
    <vt:lpwstr>2052-12.1.0.28043</vt:lpwstr>
  </property>
  <property fmtid="{D5CDD505-2E9C-101B-9397-08002B2CF9AE}" pid="4" name="ICV">
    <vt:lpwstr>2AEA1B0ECEA64F79A8910FAAF2FA6BF9_13</vt:lpwstr>
  </property>
</Properties>
</file>